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3864"/>
          <w:sz w:val="30"/>
          <w:szCs w:val="30"/>
        </w:rPr>
        <w:t xml:space="preserve">Week 1 — Dataset readiness note</w:t>
      </w:r>
    </w:p>
    <w:p>
      <w:pPr>
        <w:spacing w:after="120" w:before="0"/>
      </w:pPr>
      <w:r>
        <w:rPr>
          <w:rFonts w:ascii="Calibri" w:cs="Calibri" w:eastAsia="Calibri" w:hAnsi="Calibri"/>
          <w:color w:val="666666"/>
          <w:sz w:val="20"/>
          <w:szCs w:val="20"/>
        </w:rPr>
        <w:t xml:space="preserve">22AIE304 Deep Learning · End-semester project · Re-upload in this template due 23:59 IST, Monday 12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cantSplit/>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Team number</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05</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Card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I1 — Strategy S2 · Catalogue P8</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Project title</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Satellite Telemetry Anomaly Detection</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Members (name, roll number)</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K Hemalatha Reddy (BL.SC.U4AIE24018); B Parameshwar Reddy (BL.SC.U4AIE24008); Jagan Sai Kumar (BL.SC.U4AIE24023)</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Original note submitted on</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Friday, 2 October 2026</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Date of this re-upload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12 October 2026</w:t>
            </w:r>
          </w:p>
        </w:tc>
      </w:tr>
    </w:tbl>
    <w:p>
      <w:pPr>
        <w:pStyle w:val="Heading2"/>
        <w:keepNext/>
        <w:spacing w:after="60" w:before="160"/>
      </w:pPr>
      <w:r>
        <w:rPr>
          <w:rFonts w:ascii="Calibri" w:cs="Calibri" w:eastAsia="Calibri" w:hAnsi="Calibri"/>
          <w:b/>
          <w:bCs/>
          <w:color w:val="1F3864"/>
          <w:sz w:val="24"/>
          <w:szCs w:val="24"/>
        </w:rPr>
        <w:t xml:space="preserve">1. Numbers you got, against the manifest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900"/>
        <w:gridCol w:w="2738"/>
      </w:tblGrid>
      <w:tr>
        <w:trPr>
          <w:tblHeader/>
          <w:cantSplit/>
        </w:trPr>
        <w:tc>
          <w:tcPr>
            <w:tcW w:type="dxa" w:w="2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Figure (from your manifest)</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Manifest value</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Your value</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Match</w:t>
            </w:r>
          </w:p>
        </w:tc>
        <w:tc>
          <w:tcPr>
            <w:tcW w:type="dxa" w:w="27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If not, likely cause</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Total fragments [Selected-artifact check, 23 Sep 2026]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2,123</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2,123 unique segment IDs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Channels [Selected-artifact check, 23 Sep 2026]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9 telemetry channels</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9 distinct channel IDs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Dimensionality [Selected-artifact check, 23 Sep 2026]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Univariate; one channel per fragment</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Each segment maps to one channel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Anomalous fraction [Selected-artifact check, 23 Sep 2026]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Approximately 20%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434/2,123 fragments = 20.44%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segments.csv size [Selected-artifact check, 23 Sep 2026]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17,970,946 bytes</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17,970,946 bytes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dataset.csv size [Selected-artifact check, 23 Sep 2026]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507,568 bytes</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507,568 bytes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Original fragment lengths [Card I1 / Annex D6]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Variable; resample each fragment to 256 samples</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Min 8; Q1 40; median 70; Q3 201; P90 363; mean 142.95; max 1,040; 1,748/2,123 &lt;256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Issued SMAP/MSL stream shapes [Card I1 / Annex D6]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P-1: train 2,872×25, test 8,505×25; C-1: train 2,158×55, test 2,264×55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All four issued .npy shapes match</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r>
      <w:tr>
        <w:trPr>
          <w:tblHeader w:val="false"/>
          <w:cantSplit/>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Fragment counts by channel [Card I1 requires channel counts]</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Not itemized in manifest; report independently</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CADC0872 546; CADC0873 593; CADC0874 194; CADC0884 158; CADC0886 11; CADC0888 252; CADC0890 14; CADC0892 211; CADC0894 144 (total 2,123)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N/A</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Card-specific channel count; sums to 2,123.</w:t>
            </w:r>
          </w:p>
        </w:tc>
      </w:tr>
    </w:tbl>
    <w:p>
      <w:pPr>
        <w:pStyle w:val="Heading2"/>
        <w:keepNext/>
        <w:pageBreakBefore/>
        <w:spacing w:after="60" w:before="160"/>
      </w:pPr>
      <w:r>
        <w:rPr>
          <w:rFonts w:ascii="Calibri" w:cs="Calibri" w:eastAsia="Calibri" w:hAnsi="Calibri"/>
          <w:b/>
          <w:bCs/>
          <w:color w:val="1F3864"/>
          <w:sz w:val="24"/>
          <w:szCs w:val="24"/>
        </w:rPr>
        <w:t xml:space="preserve">2. Split unit and partitions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cantSplit/>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Declared split unit (one sentence)</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One OPSSAT-AD fragment (segment ID); every fragment belongs to one univariate channel.</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How the validation partition was built</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From 1,273 nominal training fragments, sort segment IDs by SHA-256 hex digest of “22|&lt;segment&gt;”; reserve the first floor(20%) = 254 for nominal development, leaving 1,019 for fitting. The 321 anomalous fragments in the training side are excluded from nominal-only fitting/development.</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Issued split file used (name, SHA-256 checked: Yes/No)</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OPSSAT_nominal_dev_segments.csv; SHA-256 checked: Yes. Hash: 38c73775c1fbb60041a0dcb2b379ca05667ab32035c1b867399c2dfb78343d85.</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Your independent reproduction matches the issued file? (Yes / No: number of samples that differ)</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Yes. Independent reproduction using the D6 SHA-256 ordering matched the issued file: 0 differing segment IDs.</w:t>
            </w:r>
          </w:p>
        </w:tc>
      </w:tr>
    </w:tbl>
    <w:p>
      <w:pPr>
        <w:spacing w:after="40" w:before="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338"/>
      </w:tblGrid>
      <w:tr>
        <w:trPr>
          <w:tblHeader/>
          <w:cantSplit/>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Class / stratum</w:t>
            </w:r>
          </w:p>
        </w:tc>
        <w:tc>
          <w:tcPr>
            <w:tcW w:type="dxa" w:w="1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Train</w:t>
            </w:r>
          </w:p>
        </w:tc>
        <w:tc>
          <w:tcPr>
            <w:tcW w:type="dxa" w:w="1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Validation</w:t>
            </w:r>
          </w:p>
        </w:tc>
        <w:tc>
          <w:tcPr>
            <w:tcW w:type="dxa" w:w="1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Test</w:t>
            </w:r>
          </w:p>
        </w:tc>
        <w:tc>
          <w:tcPr>
            <w:tcW w:type="dxa" w:w="23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Total</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CADC0872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256</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59</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132</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447</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CADC0873</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286</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80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153</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519</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CADC0874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78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52</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148</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CADC0884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100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36</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158</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CADC0886</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4</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9</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CADC0888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113</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27</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64</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204</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CADC0890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CADC0892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109</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53</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184</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CADC0894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71</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33</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128</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All samples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123,291</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30,408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78,315</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232,014</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Independent units (fragments)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1,019</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254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529</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1,802</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Class view (nominal / anomalous fragments)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1,019 / 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254 / 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416 / 113</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1,689 / 113; the 321 anomalous training fragments are unused, so 1,802 + 321 = 2,123</w:t>
            </w:r>
          </w:p>
        </w:tc>
      </w:tr>
    </w:tbl>
    <w:p>
      <w:pPr>
        <w:pStyle w:val="Heading2"/>
        <w:keepNext/>
        <w:spacing w:after="60" w:before="160"/>
      </w:pPr>
      <w:r>
        <w:rPr>
          <w:rFonts w:ascii="Calibri" w:cs="Calibri" w:eastAsia="Calibri" w:hAnsi="Calibri"/>
          <w:b/>
          <w:bCs/>
          <w:color w:val="1F3864"/>
          <w:sz w:val="24"/>
          <w:szCs w:val="24"/>
        </w:rPr>
        <w:t xml:space="preserve">3. Access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cantSplit/>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Source URL or route (as named on your card)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OPSSAT-AD pinned source: https://zenodo.org/records/12588359 (segments.csv and dataset.csv, downloaded manually by the team). The issued RevD1 ZIP provides the nominal-dev split, SMAP P-1 / MSL C-1 audit files and labeled_anomalies.csv; it contains no OPSSAT-AD data files.</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Login, API key or manual acceptance needed? Which?</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No login, API key or manual acceptance for the issued bundle. The two OPSSAT-AD files were taken manually from the open-access Zenodo record in a browser; no login or API key was used.</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Integrity check done (hash or count) and result</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Canonical source archive in the issued bundle: 11,900,797 B; SHA-256 522127833d726863f3aa0e907ba838b09c14ddec6da2dda5961e187146b0cfd2 (matches expected). The later local ZIP copy in Downloads is 14,042,471 B with SHA-256 7CD8DFE4288DE7CDB21F36556D8BC050830DF13345AEAD4F6690C8D6D000C475; it does NOT match the canonical archive because it includes the extra OPSSAT CSVs. All 32 files listed in SHA256SUMS.txt passed (32 OK, 0 mismatches, 0 missing), including all six I1-listed files. segments.csv and dataset.csv are not listed in SHA256SUMS.txt; their byte sizes match the manifest.</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Confirm: no key or credential is in your repository</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No key or credential was used. Repository searched for “api_key”: none found.</w:t>
            </w:r>
          </w:p>
        </w:tc>
      </w:tr>
    </w:tbl>
    <w:p>
      <w:pPr>
        <w:pStyle w:val="Heading2"/>
        <w:keepNext/>
        <w:spacing w:after="60" w:before="160"/>
      </w:pPr>
      <w:r>
        <w:rPr>
          <w:rFonts w:ascii="Calibri" w:cs="Calibri" w:eastAsia="Calibri" w:hAnsi="Calibri"/>
          <w:b/>
          <w:bCs/>
          <w:color w:val="1F3864"/>
          <w:sz w:val="24"/>
          <w:szCs w:val="24"/>
        </w:rPr>
        <w:t xml:space="preserve">4.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cantSplit/>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Python version</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Python 3.13.5</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Operating system</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Windows 11 Home, version 25H2 (OS build 26200.9457)</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Package versions used to parse the data (pinned)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pandas 2.3.1; NumPy 2.3.1; SciPy 1.16.0; Matplotlib 3.10.3; PyTorch 2.8.0+cpu (timed model run).</w:t>
            </w:r>
          </w:p>
        </w:tc>
      </w:tr>
    </w:tbl>
    <w:p>
      <w:pPr>
        <w:pStyle w:val="Heading2"/>
        <w:keepNext/>
        <w:spacing w:after="60" w:before="160"/>
      </w:pPr>
      <w:r>
        <w:rPr>
          <w:rFonts w:ascii="Calibri" w:cs="Calibri" w:eastAsia="Calibri" w:hAnsi="Calibri"/>
          <w:b/>
          <w:bCs/>
          <w:color w:val="1F3864"/>
          <w:sz w:val="24"/>
          <w:szCs w:val="24"/>
        </w:rPr>
        <w:t xml:space="preserve">5. Bytes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cantSplit/>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Transferred bytes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30,379,311 B total: canonical source ZIP 11,900,797 B + separately downloaded segments.csv 17,970,946 B + dataset.csv 507,568 B. The later local ZIP copy of 14,042,471 B is a modified/repacked copy containing the CSVs, not an additional network transfer to count again.</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Peak temporary bytes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Not measured during acquisition.</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Retained working bytes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22,707,517 B across the retained I1 working files (below the 5 GB cap).</w:t>
            </w:r>
          </w:p>
        </w:tc>
      </w:tr>
    </w:tbl>
    <w:p>
      <w:pPr>
        <w:pStyle w:val="Heading2"/>
        <w:keepNext/>
        <w:spacing w:after="60" w:before="160"/>
      </w:pPr>
      <w:r>
        <w:rPr>
          <w:rFonts w:ascii="Calibri" w:cs="Calibri" w:eastAsia="Calibri" w:hAnsi="Calibri"/>
          <w:b/>
          <w:bCs/>
          <w:color w:val="1F3864"/>
          <w:sz w:val="24"/>
          <w:szCs w:val="24"/>
        </w:rPr>
        <w:t xml:space="preserve">6. Anything that surprised you</w:t>
      </w:r>
    </w:p>
    <w:p>
      <w:pPr>
        <w:spacing w:after="80" w:before="0"/>
      </w:pPr>
      <w:r>
        <w:t>segments.csv contains sample-level rows, not one row per fragment; grouping by segment gives 2,123 fragments. Use the anomaly column, not label. Original fragment lengths vary from 8 to 1,040 samples; 1,748/2,123 are shorter than 256. CADC0886 and CADC0890 have thin nominal support. Nominal fragments are much shorter than anomalous ones (median 54 vs 184.5 samples), so length alone may separate the classes, which matters for the trivial detector and for score calibration. The browser saved segments.csv as “segments (1).csv”.</w:t>
      </w:r>
    </w:p>
    <w:p>
      <w:pPr>
        <w:pStyle w:val="Heading2"/>
        <w:keepNext/>
        <w:spacing w:after="60" w:before="160"/>
      </w:pPr>
      <w:r>
        <w:rPr>
          <w:rFonts w:ascii="Calibri" w:cs="Calibri" w:eastAsia="Calibri" w:hAnsi="Calibri"/>
          <w:b/>
          <w:bCs/>
          <w:color w:val="1F3864"/>
          <w:sz w:val="24"/>
          <w:szCs w:val="24"/>
        </w:rPr>
        <w:t xml:space="preserve">7. Machine and timed reference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cantSplit/>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Reference configuration run (copy the Annex D0 Week-1 entry)</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2-D spectrogram autoencoder on OPSSAT-AD (Annex D0 Week-1 reference entry).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Hardware: CPU model, cores, RAM, OS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Intel Core i7-1355U; 10 cores / 12 logical processors; 15.69 GB RAM; Windows.</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Thread setting and data-loader workers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6 PyTorch CPU threads; 0 DataLoader workers.</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Elapsed time of the fit</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29.18 s.</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Aggregate CPU time (main process + workers)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77.08 s aggregate CPU time (as recorded by the run script).</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Epochs and optimisation updates completed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30 epochs; 960 optimisation updates.</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Limit that stopped the run: epochs / 30-min clock / early stopping</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30-epoch limit (not the 30-minute limit).</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Peak memory</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420.09 MB peak Python working-set memory.</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Evidence of optimisation (train and validation loss at start and end, or attach the curve)</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Training loss: 0.009667 → 0.000180 (epoch 1 → epoch 30; lowest 0.000035 at epoch 28). Validation loss start → end: 0.002860 → 0.000333 (epoch 1 → epoch 30). Best validation loss: 0.000040 at epoch 28; those best-validation weights were restored and saved (model_week1.pt). The last-epoch rise in both losses (epochs 29–30) is training noise, not a failed fit. Curve attached: yes (week1_loss_curve.png). Input scaling: each fragment resampled to 256 samples, then one global z-score using the mean and standard deviation of the 1,019 fitting fragments only (applied unchanged to development and test). Spectrogram: scipy.signal.spectrogram, n_fft 64, window length 64 (SciPy default Tukey 0.25 window), hop 32 (overlap 32), magnitude with density scaling, then log1p; output 33 × 7 per fragment, no further normalisation. Early stopping did not trigger; the run completed all 30 epochs.</w:t>
            </w:r>
          </w:p>
        </w:tc>
      </w:tr>
      <w:tr>
        <w:trPr>
          <w:tblHeader w:val="false"/>
          <w:cantSplit/>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Validation pass finished? Timed inference pass over test-shaped data finished? Its time</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Validation finished: Yes (0.06 s over the 254 development fragments). Timed, unscored inference over test-shaped data finished: Yes, 0.10 s, over 529 resampled test fragments (inputs only). No test labels or test metrics were inspected.</w:t>
            </w:r>
          </w:p>
        </w:tc>
      </w:tr>
    </w:tbl>
    <w:p>
      <w:pPr>
        <w:spacing w:after="40" w:before="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600"/>
        <w:gridCol w:w="3138"/>
      </w:tblGrid>
      <w:tr>
        <w:trPr>
          <w:tblHeader/>
          <w:cantSplit/>
        </w:trPr>
        <w:tc>
          <w:tcPr>
            <w:tcW w:type="dxa" w:w="3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Stage</w:t>
            </w:r>
          </w:p>
        </w:tc>
        <w:tc>
          <w:tcPr>
            <w:tcW w:type="dxa" w:w="13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Count</w:t>
            </w:r>
          </w:p>
        </w:tc>
        <w:tc>
          <w:tcPr>
            <w:tcW w:type="dxa" w:w="1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Elapsed per item</w:t>
            </w:r>
          </w:p>
        </w:tc>
        <w:tc>
          <w:tcPr>
            <w:tcW w:type="dxa" w:w="31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Projected elapsed total</w:t>
            </w:r>
          </w:p>
        </w:tc>
      </w:tr>
      <w:tr>
        <w:trPr>
          <w:tblHeader w:val="false"/>
          <w:cantSplit/>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Preprocessing / acquisition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1 canonical ZIP + 2 manually downloaded OPSSAT CSV files</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Not timed</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 1 min (estimate; not timed; about 30.4 MB transferred in total).</w:t>
            </w:r>
          </w:p>
        </w:tc>
      </w:tr>
      <w:tr>
        <w:trPr>
          <w:tblHeader w:val="false"/>
          <w:cantSplit/>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Required neural fits (count from Annex D0)</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29.18 s for the measured reference fit; other fits not timed</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5 fits: reference 29.18 s each → 2.43 min (5 × 29.18 s = 145.9 s). Projected from the measured fit; the other fits are assumed to cost about the same as the reference fit, as a conservative estimate.</w:t>
            </w:r>
          </w:p>
        </w:tc>
      </w:tr>
      <w:tr>
        <w:trPr>
          <w:tblHeader w:val="false"/>
          <w:cantSplit/>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Classical baselines (60-min allowance)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3 controls: Isolation Forest, PCA reconstruction error, trivial constant/threshold</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Not timed; D0 allowance = 60 min</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 5 min in total (estimate; not measured), within the 60-min allowance</w:t>
            </w:r>
          </w:p>
        </w:tc>
      </w:tr>
      <w:tr>
        <w:trPr>
          <w:tblHeader w:val="false"/>
          <w:cantSplit/>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Repeated inference / evaluation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 xml:space="preserve">10 passes (5 fits × development + test pass)</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0.10 s measured for one OPSSAT model over 529 test-shaped fragments; other fit/pass timings not measured.</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10 passes are planned, but the total is not measured; do not treat 0.02 min as verified.</w:t>
            </w:r>
          </w:p>
        </w:tc>
      </w:tr>
      <w:tr>
        <w:trPr>
          <w:tblHeader w:val="false"/>
          <w:cantSplit/>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Stage measured on a subset (Annex D0, last column)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2 streams, stride-1: SMAP P-1 ≈ 8,250 windows; MSL C-1 ≈ 2,009 windows (256-step, before padding)</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0.141 s (P-1) / 0.110 s (C-1) per 1,000 windows, but these were measured with the dummy scorer in time_stride.py, NOT trained stream models.</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Not valid for the required programme projection. Repeat subset timing after using each stream’s trained 1-D autoencoder.</w:t>
            </w:r>
          </w:p>
        </w:tc>
      </w:tr>
      <w:tr>
        <w:trPr>
          <w:tblHeader w:val="false"/>
          <w:cantSplit/>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Total, against 24 h</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20"/>
              </w:rPr>
              <w:t>—</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rPr>
              <w:t>NOT YET VERIFIED against 24 h. The earlier ≈8.5 min total relied on dummy-scorer timing and unmeasured-stage estimates; update after valid stream-model timing.</w:t>
            </w:r>
          </w:p>
        </w:tc>
      </w:tr>
    </w:tbl>
    <w:p>
      <w:pPr>
        <w:pStyle w:val="Heading2"/>
        <w:keepNext/>
        <w:spacing w:after="60" w:before="160"/>
      </w:pPr>
      <w:r>
        <w:rPr>
          <w:rFonts w:ascii="Calibri" w:cs="Calibri" w:eastAsia="Calibri" w:hAnsi="Calibri"/>
          <w:b/>
          <w:bCs/>
          <w:color w:val="1F3864"/>
          <w:sz w:val="24"/>
          <w:szCs w:val="24"/>
        </w:rPr>
        <w:t xml:space="preserve">8. Items your card asks for in addition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cantSplit/>
        </w:trPr>
        <w:tc>
          <w:tcPr>
            <w:tcW w:type="dxa" w:w="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Card</w:t>
            </w:r>
          </w:p>
        </w:tc>
        <w:tc>
          <w:tcPr>
            <w:tcW w:type="dxa" w:w="87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Also report</w:t>
            </w:r>
          </w:p>
        </w:tc>
      </w:tr>
      <w:tr>
        <w:trPr>
          <w:tblHeader w:val="false"/>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I1</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t>Fit / development support: 1,019 / 254 nominal fragments. Original lengths overall: min 8, Q1 40, median 70, Q3 201, P90 363, mean 142.95, max 1,040; 1,748/2,123 are &lt;256. By channel min/median/max: CADC0872 14/60/687; CADC0873 12/52/673; CADC0874 37/156/1,040; CADC0884 17/81/173; CADC0886 15/36/39; CADC0888 8/48/97; CADC0890 19/40/51; CADC0892 27/239/470; CADC0894 21/58/827. Resample every OPSSAT fragment to 256 evenly spaced samples; because 82.3% are shorter than 256, this mostly upsamples and changes time resolution. Fit score scaling (median/IQR; scale=1 if IQR=0) and each detector threshold (99th percentile) on nominal development scores only; fusion weight fixed at 0.5. SMAP P-1 / MSL C-1: 256-step windows, training stride 64, scoring stride 1; first 80% of nominal training for fit, last 20% for calibration with a 256-step guard gap; retain full published test streams; apply prefix/suffix padding and mask padded values from loss. Point scores average reconstruction errors over covering windows. SMAP/MSL are pre-scaled using test-set min/max and timing is anonymised (inherited limitations). Calibration result for the saved OPSSAT 2-D spectrogram autoencoder (best-validation checkpoint): nominal-development reconstruction-MSE 99th-percentile threshold = 0.0002969464; equivalent threshold after median/IQR score scaling = 4.426735 (development-score median = 3.112463e-7; IQR = 6.700992e-5). Three of 254 nominal development fragments exceed the threshold, giving an empirical nominal alarm rate of 3/254 = 1.18%. These are calibration-set results; no test labels or test metrics were used.</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22AIE304 · Team 05 · Card I1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2026-10-09T19:51:25.057Z</dcterms:created>
  <dcterms:modified xsi:type="dcterms:W3CDTF">2026-10-09T19:51:25.065Z</dcterms:modified>
  <dc:title>T05 I1 Week 1 Dataset Readiness Note — calibrated threshold added</dc:title>
  <dc:subject>22AIE304 Deep Learning — Team 05 — Card I1</dc:subject>
</cp:coreProperties>
</file>

<file path=docProps/custom.xml><?xml version="1.0" encoding="utf-8"?>
<Properties xmlns="http://schemas.openxmlformats.org/officeDocument/2006/custom-properties" xmlns:vt="http://schemas.openxmlformats.org/officeDocument/2006/docPropsVTypes"/>
</file>