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71A3" w14:textId="3B63212A" w:rsidR="005432D0" w:rsidRDefault="005432D0" w:rsidP="008F37B7">
      <w:pPr>
        <w:rPr>
          <w:rFonts w:asciiTheme="minorHAnsi" w:hAnsiTheme="minorHAnsi" w:cstheme="minorHAnsi"/>
          <w:sz w:val="28"/>
          <w:szCs w:val="28"/>
          <w:lang w:val="en-US" w:bidi="th-TH"/>
        </w:rPr>
      </w:pPr>
      <w:r w:rsidRPr="005432D0">
        <w:rPr>
          <w:rFonts w:asciiTheme="minorHAnsi" w:hAnsiTheme="minorHAnsi" w:cstheme="minorHAnsi"/>
          <w:sz w:val="28"/>
          <w:szCs w:val="28"/>
          <w:cs/>
          <w:lang w:val="en-US" w:bidi="th-TH"/>
        </w:rPr>
        <w:t>1. ว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ิธีการโหลด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Data Source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br/>
        <w:t xml:space="preserve">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โหลด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input 4 file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ได้แก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่</w:t>
      </w:r>
    </w:p>
    <w:p w14:paraId="009E3629" w14:textId="4EC1CF9D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1.1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AA20035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เดือนปัจจุบัน โดยจะอ่าน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Column Cost Center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และ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LOB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เป็น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String</w:t>
      </w:r>
    </w:p>
    <w:p w14:paraId="373FAF35" w14:textId="1591EF8A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cs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1.2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AA20035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เดือนก่อนหน้า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โดยจะอ่าน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Column Cost Center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และ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LOB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เป็น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String</w:t>
      </w:r>
    </w:p>
    <w:p w14:paraId="02BD3ABC" w14:textId="60401857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cs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1.3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GTO05 6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เดือนย้อนหล้ง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โดยจะทำการเช็คหาแถวที่มีข้อมูลจริงอยู่ก่อนแล้วจึงทำการอ่านจาก แถวที่มีข้อมูล</w:t>
      </w:r>
    </w:p>
    <w:p w14:paraId="05F7BFD2" w14:textId="1933074A" w:rsidR="005432D0" w:rsidRDefault="005432D0" w:rsidP="008F37B7">
      <w:pPr>
        <w:ind w:firstLine="720"/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1.4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Reconcile Report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ของเดือนก่อนหน้า โดยจะอ่านจากชีท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Reconcile Report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และ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อ่าน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Column Cost Center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และ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LOB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เป็น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String</w:t>
      </w:r>
    </w:p>
    <w:p w14:paraId="55AB5F40" w14:textId="77777777" w:rsidR="008F37B7" w:rsidRDefault="008F37B7" w:rsidP="008F37B7">
      <w:pPr>
        <w:ind w:firstLine="720"/>
        <w:rPr>
          <w:rFonts w:asciiTheme="minorHAnsi" w:hAnsiTheme="minorHAnsi" w:cstheme="minorHAnsi" w:hint="cs"/>
          <w:sz w:val="28"/>
          <w:szCs w:val="28"/>
          <w:cs/>
          <w:lang w:val="en-US" w:bidi="th-TH"/>
        </w:rPr>
      </w:pPr>
    </w:p>
    <w:p w14:paraId="6523D333" w14:textId="46FD898D" w:rsidR="005432D0" w:rsidRDefault="005432D0" w:rsidP="005432D0">
      <w:pPr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2.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Step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การ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 run </w:t>
      </w:r>
    </w:p>
    <w:p w14:paraId="0792B9D9" w14:textId="169DEB00" w:rsidR="008F37B7" w:rsidRDefault="008F37B7" w:rsidP="008F37B7">
      <w:pPr>
        <w:rPr>
          <w:rFonts w:asciiTheme="minorHAnsi" w:hAnsiTheme="minorHAnsi" w:cstheme="minorHAnsi" w:hint="cs"/>
          <w:sz w:val="28"/>
          <w:szCs w:val="28"/>
          <w:lang w:val="en-US" w:bidi="th-TH"/>
        </w:rPr>
      </w:pP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เมื่อ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user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กดปุ่ม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start reconciliation</w:t>
      </w:r>
    </w:p>
    <w:p w14:paraId="741BA254" w14:textId="32C8805F" w:rsidR="005432D0" w:rsidRDefault="005432D0" w:rsidP="008F37B7">
      <w:pPr>
        <w:ind w:firstLine="720"/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2.1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run class GetFileAndPeriod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เพื่ออ่านไฟล์และรับ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input period</w:t>
      </w:r>
    </w:p>
    <w:p w14:paraId="49088FAB" w14:textId="687C6EC2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2.2 run class AAProcess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เพื่อทำการ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pivot AA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เดือนปัจจุบันและ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 clean data frame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เพื่อรวมกับ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reconcile</w:t>
      </w:r>
    </w:p>
    <w:p w14:paraId="0C57D3EC" w14:textId="0A2CD966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cs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2.3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run class combine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เพื่อรวม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AA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และ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reconcile </w:t>
      </w:r>
    </w:p>
    <w:p w14:paraId="12E83FAC" w14:textId="511FD2AC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2.4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 xml:space="preserve">run class Balance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แยก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>data frame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เป็นยังไม่วางบิล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และ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>data fram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 xml:space="preserve">e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เพื่อไปทำ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>Balance</w:t>
      </w:r>
    </w:p>
    <w:p w14:paraId="75332200" w14:textId="6C8F22E1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cs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2.5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 xml:space="preserve"> run class Minimum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เพื่อทำการหา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>Minimum Guarantee</w:t>
      </w:r>
    </w:p>
    <w:p w14:paraId="70B5B368" w14:textId="702CC664" w:rsidR="005432D0" w:rsidRDefault="005432D0" w:rsidP="008F37B7">
      <w:pPr>
        <w:ind w:firstLine="720"/>
        <w:rPr>
          <w:rFonts w:asciiTheme="minorHAnsi" w:hAnsiTheme="minorHAnsi" w:cstheme="minorHAnsi" w:hint="cs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2.6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 xml:space="preserve">run class GetReport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 รวม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>data frame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เป็น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 xml:space="preserve">reconcile report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แล้วก็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 xml:space="preserve">save report </w:t>
      </w:r>
      <w:r w:rsidR="008F37B7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ลงใน แต่ละ </w:t>
      </w:r>
      <w:r w:rsidR="008F37B7">
        <w:rPr>
          <w:rFonts w:asciiTheme="minorHAnsi" w:hAnsiTheme="minorHAnsi" w:cstheme="minorHAnsi"/>
          <w:sz w:val="28"/>
          <w:szCs w:val="28"/>
          <w:lang w:val="en-US" w:bidi="th-TH"/>
        </w:rPr>
        <w:t>sheet</w:t>
      </w:r>
    </w:p>
    <w:p w14:paraId="6F5217AC" w14:textId="77777777" w:rsidR="008F37B7" w:rsidRDefault="008F37B7" w:rsidP="005432D0">
      <w:pPr>
        <w:rPr>
          <w:rFonts w:asciiTheme="minorHAnsi" w:hAnsiTheme="minorHAnsi" w:cstheme="minorHAnsi"/>
          <w:sz w:val="28"/>
          <w:szCs w:val="28"/>
          <w:lang w:val="en-US" w:bidi="th-TH"/>
        </w:rPr>
      </w:pPr>
    </w:p>
    <w:p w14:paraId="63C7F8D9" w14:textId="2A71EB06" w:rsidR="005432D0" w:rsidRDefault="008F37B7" w:rsidP="008F37B7">
      <w:pPr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lastRenderedPageBreak/>
        <w:t xml:space="preserve">เมื่อ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user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กดปุ่ม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 Get Report</w:t>
      </w:r>
    </w:p>
    <w:p w14:paraId="7DB86F38" w14:textId="28C2CC7A" w:rsidR="008F37B7" w:rsidRDefault="008F37B7" w:rsidP="008F37B7">
      <w:pPr>
        <w:ind w:firstLine="720"/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2.7 run class GetInputReport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เพื่อดึง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report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ใหม่</w:t>
      </w:r>
    </w:p>
    <w:p w14:paraId="542B29A1" w14:textId="64FC0F83" w:rsidR="008F37B7" w:rsidRDefault="008F37B7" w:rsidP="008F37B7">
      <w:pPr>
        <w:ind w:firstLine="720"/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2.9 run class GenNewReport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เพื่อออก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Report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>ใหม่</w:t>
      </w:r>
    </w:p>
    <w:p w14:paraId="34EC0AD4" w14:textId="5E68329E" w:rsidR="008F37B7" w:rsidRDefault="008F37B7" w:rsidP="008F37B7">
      <w:pPr>
        <w:rPr>
          <w:rFonts w:asciiTheme="minorHAnsi" w:hAnsiTheme="minorHAnsi" w:cstheme="minorHAnsi"/>
          <w:sz w:val="28"/>
          <w:szCs w:val="28"/>
          <w:lang w:val="en-US" w:bidi="th-TH"/>
        </w:rPr>
      </w:pPr>
    </w:p>
    <w:p w14:paraId="5E6ABBCD" w14:textId="4FA7363A" w:rsidR="008F37B7" w:rsidRDefault="008F37B7" w:rsidP="008F37B7">
      <w:pPr>
        <w:rPr>
          <w:rFonts w:asciiTheme="minorHAnsi" w:hAnsiTheme="minorHAnsi" w:cstheme="minorHAnsi"/>
          <w:sz w:val="28"/>
          <w:szCs w:val="28"/>
          <w:lang w:val="en-US" w:bidi="th-TH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 xml:space="preserve">3. Output </w:t>
      </w:r>
      <w:r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วางที่ </w:t>
      </w:r>
      <w:r>
        <w:rPr>
          <w:rFonts w:asciiTheme="minorHAnsi" w:hAnsiTheme="minorHAnsi" w:cstheme="minorHAnsi"/>
          <w:sz w:val="28"/>
          <w:szCs w:val="28"/>
          <w:lang w:val="en-US" w:bidi="th-TH"/>
        </w:rPr>
        <w:t>Folder</w:t>
      </w:r>
      <w:r w:rsidR="007C00CD">
        <w:rPr>
          <w:rFonts w:asciiTheme="minorHAnsi" w:hAnsiTheme="minorHAnsi" w:cstheme="minorHAnsi" w:hint="cs"/>
          <w:sz w:val="28"/>
          <w:szCs w:val="28"/>
          <w:cs/>
          <w:lang w:val="en-US" w:bidi="th-TH"/>
        </w:rPr>
        <w:t xml:space="preserve"> </w:t>
      </w:r>
      <w:r w:rsidR="007C00CD">
        <w:rPr>
          <w:rFonts w:asciiTheme="minorHAnsi" w:hAnsiTheme="minorHAnsi" w:cstheme="minorHAnsi"/>
          <w:sz w:val="28"/>
          <w:szCs w:val="28"/>
          <w:lang w:val="en-US" w:bidi="th-TH"/>
        </w:rPr>
        <w:t>BS_Reconciliation_AA20035/Output</w:t>
      </w:r>
    </w:p>
    <w:p w14:paraId="7FFBD6DC" w14:textId="77777777" w:rsidR="007C00CD" w:rsidRPr="007C00CD" w:rsidRDefault="007C00CD" w:rsidP="007C00CD">
      <w:pPr>
        <w:spacing w:after="0"/>
        <w:rPr>
          <w:rFonts w:eastAsia="Times New Roman"/>
        </w:rPr>
      </w:pPr>
      <w:r>
        <w:rPr>
          <w:rFonts w:asciiTheme="minorHAnsi" w:hAnsiTheme="minorHAnsi" w:cstheme="minorHAnsi"/>
          <w:sz w:val="28"/>
          <w:szCs w:val="28"/>
          <w:lang w:val="en-US" w:bidi="th-TH"/>
        </w:rPr>
        <w:t>4. Email</w:t>
      </w:r>
    </w:p>
    <w:p w14:paraId="10D534DE" w14:textId="4127D581" w:rsidR="007C00CD" w:rsidRPr="007C00CD" w:rsidRDefault="007C00CD" w:rsidP="007C00CD">
      <w:pPr>
        <w:spacing w:after="0"/>
        <w:rPr>
          <w:rFonts w:eastAsia="Times New Roman"/>
          <w:sz w:val="28"/>
          <w:szCs w:val="28"/>
        </w:rPr>
      </w:pPr>
      <w:r w:rsidRPr="007C00CD">
        <w:rPr>
          <w:rFonts w:eastAsia="Times New Roman"/>
          <w:sz w:val="28"/>
          <w:szCs w:val="28"/>
        </w:rPr>
        <w:t xml:space="preserve">To : </w:t>
      </w:r>
      <w:hyperlink r:id="rId11" w:history="1">
        <w:r w:rsidRPr="007C00CD">
          <w:rPr>
            <w:rStyle w:val="Hyperlink"/>
            <w:rFonts w:eastAsia="Times New Roman"/>
            <w:sz w:val="28"/>
            <w:szCs w:val="28"/>
          </w:rPr>
          <w:t>Ubon.Sukkul@lotuss.com</w:t>
        </w:r>
      </w:hyperlink>
    </w:p>
    <w:p w14:paraId="5E59EB68" w14:textId="77777777" w:rsidR="007C00CD" w:rsidRPr="007C00CD" w:rsidRDefault="007C00CD" w:rsidP="007C00CD">
      <w:pPr>
        <w:spacing w:after="0"/>
        <w:rPr>
          <w:rFonts w:eastAsia="Times New Roman"/>
          <w:sz w:val="28"/>
          <w:szCs w:val="28"/>
          <w:lang w:val="en-US" w:bidi="th-TH"/>
        </w:rPr>
      </w:pPr>
      <w:r w:rsidRPr="007C00CD">
        <w:rPr>
          <w:rFonts w:eastAsia="Times New Roman"/>
          <w:sz w:val="28"/>
          <w:szCs w:val="28"/>
        </w:rPr>
        <w:t xml:space="preserve">CC : </w:t>
      </w:r>
      <w:r w:rsidRPr="007C00CD">
        <w:rPr>
          <w:rFonts w:ascii="Cambria" w:eastAsia="Times New Roman" w:hAnsi="Cambria" w:cs="Cambria"/>
          <w:sz w:val="28"/>
          <w:szCs w:val="28"/>
        </w:rPr>
        <w:t> </w:t>
      </w:r>
      <w:hyperlink r:id="rId12" w:history="1">
        <w:r w:rsidRPr="007C00CD">
          <w:rPr>
            <w:rStyle w:val="Hyperlink"/>
            <w:rFonts w:eastAsia="Times New Roman"/>
            <w:sz w:val="28"/>
            <w:szCs w:val="28"/>
          </w:rPr>
          <w:t>Amara.Suriyarat@lotuss.com</w:t>
        </w:r>
      </w:hyperlink>
    </w:p>
    <w:p w14:paraId="5CD82E3A" w14:textId="3AA8EEEA" w:rsidR="007C00CD" w:rsidRDefault="007C00CD" w:rsidP="008F37B7">
      <w:pPr>
        <w:rPr>
          <w:rFonts w:asciiTheme="minorHAnsi" w:hAnsiTheme="minorHAnsi" w:cstheme="minorHAnsi"/>
          <w:sz w:val="28"/>
          <w:szCs w:val="28"/>
          <w:lang w:val="en-US" w:bidi="th-TH"/>
        </w:rPr>
      </w:pPr>
    </w:p>
    <w:p w14:paraId="7571AFEF" w14:textId="77777777" w:rsidR="008F37B7" w:rsidRPr="005432D0" w:rsidRDefault="008F37B7" w:rsidP="005432D0">
      <w:pPr>
        <w:rPr>
          <w:rFonts w:asciiTheme="minorHAnsi" w:hAnsiTheme="minorHAnsi" w:cstheme="minorHAnsi" w:hint="cs"/>
          <w:sz w:val="28"/>
          <w:szCs w:val="28"/>
          <w:cs/>
          <w:lang w:val="en-US" w:bidi="th-TH"/>
        </w:rPr>
      </w:pPr>
    </w:p>
    <w:sectPr w:rsidR="008F37B7" w:rsidRPr="005432D0" w:rsidSect="00CF7E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9032" w14:textId="77777777" w:rsidR="005432D0" w:rsidRDefault="005432D0" w:rsidP="007B61C8">
      <w:r>
        <w:separator/>
      </w:r>
    </w:p>
  </w:endnote>
  <w:endnote w:type="continuationSeparator" w:id="0">
    <w:p w14:paraId="5C5866C3" w14:textId="77777777" w:rsidR="005432D0" w:rsidRDefault="005432D0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6992" w14:textId="77777777" w:rsidR="00007D30" w:rsidRDefault="0000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4804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5590EE0E" wp14:editId="340965B4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5720" w14:textId="77777777" w:rsidR="00007D30" w:rsidRDefault="0000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2E91" w14:textId="77777777" w:rsidR="005432D0" w:rsidRDefault="005432D0" w:rsidP="007B61C8">
      <w:r>
        <w:separator/>
      </w:r>
    </w:p>
  </w:footnote>
  <w:footnote w:type="continuationSeparator" w:id="0">
    <w:p w14:paraId="74BF9168" w14:textId="77777777" w:rsidR="005432D0" w:rsidRDefault="005432D0" w:rsidP="007B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1D41" w14:textId="77777777" w:rsidR="00007D30" w:rsidRDefault="0000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4AF6" w14:textId="77777777" w:rsidR="00007D30" w:rsidRDefault="0000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09E4" w14:textId="77777777" w:rsidR="00007D30" w:rsidRDefault="0000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52F"/>
    <w:multiLevelType w:val="hybridMultilevel"/>
    <w:tmpl w:val="AC50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A59C9"/>
    <w:multiLevelType w:val="hybridMultilevel"/>
    <w:tmpl w:val="97B0ADD4"/>
    <w:lvl w:ilvl="0" w:tplc="4DBA2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1AE6F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64AD2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E244A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3F8F1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FA08F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DEF0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DE4B27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D0704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D0"/>
    <w:rsid w:val="00007D30"/>
    <w:rsid w:val="00032466"/>
    <w:rsid w:val="00043941"/>
    <w:rsid w:val="00065BE6"/>
    <w:rsid w:val="001B14C4"/>
    <w:rsid w:val="001F5073"/>
    <w:rsid w:val="0026050B"/>
    <w:rsid w:val="002A4A05"/>
    <w:rsid w:val="00384DC2"/>
    <w:rsid w:val="003B6B1B"/>
    <w:rsid w:val="00452AE0"/>
    <w:rsid w:val="005432D0"/>
    <w:rsid w:val="007159AE"/>
    <w:rsid w:val="007B61C8"/>
    <w:rsid w:val="007C00CD"/>
    <w:rsid w:val="007D6DE7"/>
    <w:rsid w:val="00837B5B"/>
    <w:rsid w:val="008B6CD9"/>
    <w:rsid w:val="008C6882"/>
    <w:rsid w:val="008F37B7"/>
    <w:rsid w:val="00963990"/>
    <w:rsid w:val="009B6E50"/>
    <w:rsid w:val="00A30E1D"/>
    <w:rsid w:val="00A752BB"/>
    <w:rsid w:val="00AC43B9"/>
    <w:rsid w:val="00B764D3"/>
    <w:rsid w:val="00BD39C3"/>
    <w:rsid w:val="00CF7E55"/>
    <w:rsid w:val="00D56D14"/>
    <w:rsid w:val="00E43A5E"/>
    <w:rsid w:val="00F07D45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1EA9"/>
  <w15:chartTrackingRefBased/>
  <w15:docId w15:val="{0223384B-9149-4E23-8135-B24D4B4F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mara.Suriyarat@lotuss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bon.Sukkul@lotus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Ritidet</dc:creator>
  <cp:keywords/>
  <dc:description/>
  <cp:lastModifiedBy>Paramita Ritidet</cp:lastModifiedBy>
  <cp:revision>1</cp:revision>
  <dcterms:created xsi:type="dcterms:W3CDTF">2025-06-04T01:38:00Z</dcterms:created>
  <dcterms:modified xsi:type="dcterms:W3CDTF">2025-06-04T02:05:00Z</dcterms:modified>
</cp:coreProperties>
</file>