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Components Investment Committee Memo</w:t>
      </w:r>
    </w:p>
    <w:p>
      <w:r>
        <w:rPr>
          <w:i/>
          <w:color w:val="58606C"/>
        </w:rPr>
        <w:t>Illustrative transaction review  |  8 September 2026</w:t>
      </w:r>
    </w:p>
    <w:p>
      <w:pPr>
        <w:pStyle w:val="Heading1"/>
      </w:pPr>
      <w:r>
        <w:t>Recommendation status</w:t>
      </w:r>
    </w:p>
    <w:p>
      <w:r>
        <w:t>No investment recommendation is made in this fixture. The materials demonstrate a bounded, realistic memo structure while keeping every figure synthetic and every unresolved diligence question explicit.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240"/>
            <w:shd w:fill="17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656"/>
            <w:shd w:fill="17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Entry</w:t>
            </w:r>
          </w:p>
        </w:tc>
        <w:tc>
          <w:tcPr>
            <w:tcW w:type="dxa" w:w="2232"/>
            <w:shd w:fill="17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Exit</w:t>
            </w:r>
          </w:p>
        </w:tc>
        <w:tc>
          <w:tcPr>
            <w:tcW w:type="dxa" w:w="2448"/>
            <w:shd w:fill="17365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FFFFFF"/>
              </w:rPr>
              <w:t>Comment</w:t>
            </w:r>
          </w:p>
        </w:tc>
      </w:tr>
      <w:tr>
        <w:tc>
          <w:tcPr>
            <w:tcW w:type="dxa" w:w="324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Enterprise value</w:t>
            </w:r>
          </w:p>
        </w:tc>
        <w:tc>
          <w:tcPr>
            <w:tcW w:type="dxa" w:w="16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$200m</w:t>
            </w:r>
          </w:p>
        </w:tc>
        <w:tc>
          <w:tcPr>
            <w:tcW w:type="dxa" w:w="22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$331m</w:t>
            </w:r>
          </w:p>
        </w:tc>
        <w:tc>
          <w:tcPr>
            <w:tcW w:type="dxa" w:w="24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8.0x entry and 9.0x exit</w:t>
            </w:r>
          </w:p>
        </w:tc>
      </w:tr>
      <w:tr>
        <w:tc>
          <w:tcPr>
            <w:tcW w:type="dxa" w:w="324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EBITDA</w:t>
            </w:r>
          </w:p>
        </w:tc>
        <w:tc>
          <w:tcPr>
            <w:tcW w:type="dxa" w:w="16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$25m</w:t>
            </w:r>
          </w:p>
        </w:tc>
        <w:tc>
          <w:tcPr>
            <w:tcW w:type="dxa" w:w="22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$36.7m</w:t>
            </w:r>
          </w:p>
        </w:tc>
        <w:tc>
          <w:tcPr>
            <w:tcW w:type="dxa" w:w="24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8.0% revenue growth; flat margin</w:t>
            </w:r>
          </w:p>
        </w:tc>
      </w:tr>
      <w:tr>
        <w:tc>
          <w:tcPr>
            <w:tcW w:type="dxa" w:w="324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Debt</w:t>
            </w:r>
          </w:p>
        </w:tc>
        <w:tc>
          <w:tcPr>
            <w:tcW w:type="dxa" w:w="16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$125m</w:t>
            </w:r>
          </w:p>
        </w:tc>
        <w:tc>
          <w:tcPr>
            <w:tcW w:type="dxa" w:w="22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$30m</w:t>
            </w:r>
          </w:p>
        </w:tc>
        <w:tc>
          <w:tcPr>
            <w:tcW w:type="dxa" w:w="24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t>60.0% cash conversion</w:t>
            </w:r>
          </w:p>
        </w:tc>
      </w:tr>
      <w:tr>
        <w:tc>
          <w:tcPr>
            <w:tcW w:type="dxa" w:w="324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Sponsor equity</w:t>
            </w:r>
          </w:p>
        </w:tc>
        <w:tc>
          <w:tcPr>
            <w:tcW w:type="dxa" w:w="16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$75m</w:t>
            </w:r>
          </w:p>
        </w:tc>
        <w:tc>
          <w:tcPr>
            <w:tcW w:type="dxa" w:w="22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$301m</w:t>
            </w:r>
          </w:p>
        </w:tc>
        <w:tc>
          <w:tcPr>
            <w:tcW w:type="dxa" w:w="244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EEF4F8"/>
          </w:tcPr>
          <w:p>
            <w:r>
              <w:t>Illustrative gross proceeds</w:t>
            </w:r>
          </w:p>
        </w:tc>
      </w:tr>
    </w:tbl>
    <w:p>
      <w:pPr>
        <w:pStyle w:val="Heading1"/>
      </w:pPr>
      <w:r>
        <w:t>Investment case</w:t>
      </w:r>
    </w:p>
    <w:p>
      <w:pPr>
        <w:pStyle w:val="Heading2"/>
      </w:pPr>
      <w:r>
        <w:t>Operating profile</w:t>
      </w:r>
    </w:p>
    <w:p>
      <w:r>
        <w:t>The illustrative case assumes a stable operating margin and measured organic growth. The fixture contains no management forecast, customer data, or third-party diligence evidence, so those inputs remain assumptions rather than verified facts.</w:t>
      </w:r>
    </w:p>
    <w:p>
      <w:pPr>
        <w:pStyle w:val="Heading2"/>
      </w:pPr>
      <w:r>
        <w:t>Capital structure</w:t>
      </w:r>
    </w:p>
    <w:p>
      <w:r>
        <w:t>Opening leverage is 5.0x EBITDA. Mandatory debt repayment equals the lower of available cash and opening debt in each forecast year. The accompanying workbook owns the formulas; this memo only reports the selected outputs.</w:t>
      </w:r>
    </w:p>
    <w:p>
      <w:pPr>
        <w:pStyle w:val="Heading1"/>
      </w:pPr>
      <w:r>
        <w:t>Diligence required</w:t>
      </w:r>
    </w:p>
    <w:p>
      <w:pPr>
        <w:pStyle w:val="ListBullet"/>
      </w:pPr>
      <w:r>
        <w:t>Quantify customer concentration and contract renewal exposure.</w:t>
      </w:r>
    </w:p>
    <w:p>
      <w:pPr>
        <w:pStyle w:val="ListBullet"/>
      </w:pPr>
      <w:r>
        <w:t>Test labor, raw-material, and pricing sensitivities against the flat-margin assumption.</w:t>
      </w:r>
    </w:p>
    <w:p>
      <w:pPr>
        <w:pStyle w:val="ListBullet"/>
      </w:pPr>
      <w:r>
        <w:t>Reconcile debt terms, cash sweep mechanics, fees, and minimum liquidity.</w:t>
      </w:r>
    </w:p>
    <w:p>
      <w:pPr>
        <w:pStyle w:val="ListBullet"/>
      </w:pPr>
      <w:r>
        <w:t>Validate the exit case without assuming multiple expansion.</w:t>
      </w:r>
    </w:p>
    <w:p>
      <w:pPr>
        <w:pStyle w:val="Heading1"/>
      </w:pPr>
      <w:r>
        <w:t>Evidence and limitations</w:t>
      </w:r>
    </w:p>
    <w:p>
      <w:r>
        <w:t>All content in this document is synthetic. It exists only to exercise semantic paragraphs, headings, tables, sections, headers, footers, and stable OOXML preservation in FINNOR Artifact OS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Synthetic and non-confidential certification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96270"/>
      </w:rPr>
      <w:t>NORTHSTAR COMPONENTS  |  INVESTMENT COMMITTEE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D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Components Investment Committee Memo</dc:title>
  <dc:subject>Synthetic Artifact OS certification fixture</dc:subject>
  <dc:creator>FINNOR Certification</dc:creator>
  <cp:keywords/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