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42341"/>
          <w:sz w:val="44"/>
        </w:rPr>
        <w:t>Robustness of AI-Text Detection Under Text Editing and Paraphrasing</w:t>
      </w:r>
    </w:p>
    <w:p>
      <w:pPr>
        <w:jc w:val="center"/>
      </w:pPr>
      <w:r>
        <w:rPr>
          <w:b/>
        </w:rPr>
        <w:t>AI26501 Modern AI Assignments • SP-2026 • Assignment 16</w:t>
        <w:br/>
        <w:t>Group 16 • Submission date: 05 October 2026</w:t>
        <w:br/>
      </w:r>
      <w:r>
        <w:t>Presenter/team names: complete before submission</w:t>
      </w:r>
    </w:p>
    <w:p/>
    <w:p>
      <w:pPr>
        <w:pStyle w:val="Heading1"/>
      </w:pPr>
      <w:r>
        <w:t>Abstract</w:t>
      </w:r>
    </w:p>
    <w:p>
      <w:r>
        <w:t>This mini-project evaluates whether a classical machine-learning detector of AI-generated text remains effective after the text is edited. Using a prepared subset of the Human–ChatGPT Comparison Corpus (HC3), a TF–IDF word n-gram representation and a Linear Support Vector Classifier (LinearSVC) were trained on original labelled passages. The final paired evaluation used 300 held-out question topics, each contributing one human passage and one AI passage under three conditions: original AI text, surface-edited AI text, and model-generated paraphrase. The detector achieved 98.83% accuracy and 98.00% AI recall on original and surface-edited conditions. On paraphrased text, accuracy fell to 89.67% and AI recall to 79.67%, an 18.33 percentage-point recall decrease. Manual inspection revealed that some paraphrases altered facts or omitted details; results therefore measure robustness to this paraphraser's outputs rather than to verified meaning-preserving paraphrases.</w:t>
      </w:r>
    </w:p>
    <w:p>
      <w:pPr>
        <w:pStyle w:val="Heading1"/>
      </w:pPr>
      <w:r>
        <w:t>1. Problem statement and motivation</w:t>
      </w:r>
    </w:p>
    <w:p>
      <w:r>
        <w:t>AI-generated text may be lightly edited or rewritten before it is evaluated or published. A detector that performs well on untouched passages may depend on lexical and stylistic regularities that change under rewriting. False positives can incorrectly label human writing, while false negatives can allow AI-generated passages to go undetected. This project measures detector performance under controlled text transformations.</w:t>
      </w:r>
    </w:p>
    <w:p>
      <w:pPr>
        <w:pStyle w:val="Heading1"/>
      </w:pPr>
      <w:r>
        <w:t>2. Research question and hypotheses</w:t>
      </w:r>
    </w:p>
    <w:p>
      <w:r>
        <w:t>Research question: How much does AI-text detection performance change when AI-generated passages are surface-edited or semantically paraphrased?</w:t>
      </w:r>
    </w:p>
    <w:p>
      <w:r>
        <w:t>H1: Small surface edits will have little effect on this detector. H2: Semantic paraphrasing will reduce AI recall more than surface editing.</w:t>
      </w:r>
    </w:p>
    <w:p>
      <w:pPr>
        <w:pStyle w:val="Heading1"/>
      </w:pPr>
      <w:r>
        <w:t>3. Dataset</w:t>
      </w:r>
    </w:p>
    <w:p>
      <w:r>
        <w:t>The experiment uses the Human–ChatGPT Comparison Corpus (HC3), which contains human-written answers and ChatGPT-generated answers to questions across multiple sources. The prepared project data included finance, medicine, open_qa, reddit_eli5, and wiki_csai. Data preparation deduplicated passages and retained topics containing both human and AI answers.</w:t>
      </w:r>
    </w:p>
    <w:p>
      <w:r>
        <w:t>The grouped split assigned 17,528 question topics to training and 4,383 to the held-out set. The baseline split contained 60,955 training passages and 15,157 test passages. The final robustness comparison sampled 300 held-out question topics. Each condition contained 300 human controls and 300 AI passages, for 600 evaluated passages per condition.</w:t>
      </w:r>
    </w:p>
    <w:p>
      <w:r>
        <w:t>GroupShuffleSplit (test_size=0.20, random_state=42) grouped by topic_id to reduce topic overlap between training and held-out data. Source counts in the final paired sample were unequal: 222 AI passages from Reddit ELI5, 38 from Finance, 15 from Medicine, 22 from Open QA, and 3 from Wiki CSAI per condition.</w:t>
      </w:r>
    </w:p>
    <w:p>
      <w:pPr>
        <w:pStyle w:val="Heading1"/>
      </w:pPr>
      <w:r>
        <w:t>4. Methodology</w:t>
      </w:r>
    </w:p>
    <w:p>
      <w:r>
        <w:t>Text was represented using TF–IDF word unigrams and bigrams (ngram_range=(1,2), min_df=2, max_features=200,000, sublinear_tf=True, strip_accents='unicode'). A LinearSVC classifier with class_weight='balanced' and random_state=42 was trained using original training passages only.</w:t>
      </w:r>
    </w:p>
    <w:p>
      <w:r>
        <w:t>Three test conditions were compared. (A) Original AI: original AI passages paired with the same human controls. (B) Surface-edited AI: lightly normalized/edited AI passages paired with the same human controls. (C) Semantic paraphrase: AI passages rewritten with humarin/chatgpt_paraphraser_on_T5_base, again paired with the same human controls. The paraphraser ran locally using Apple MPS. The detector was not retrained on edited or paraphrased text.</w:t>
      </w:r>
    </w:p>
    <w:p>
      <w:r>
        <w:t>Metrics were computed on the combined human-plus-AI set for each condition, with AI as the positive class. Accuracy is the proportion of correct predictions; precision is the proportion of predicted AI passages that were truly AI; recall is the proportion of AI passages detected; F1 is the harmonic mean of precision and recall; false positive rate is FP/(FP+TN).</w:t>
      </w:r>
    </w:p>
    <w:p>
      <w:pPr>
        <w:pStyle w:val="Heading1"/>
      </w:pPr>
      <w:r>
        <w:t>5. Results</w:t>
      </w:r>
    </w:p>
    <w:tbl>
      <w:tblPr>
        <w:tblStyle w:val="LightShading-Accent1"/>
        <w:tblW w:type="auto" w:w="0"/>
        <w:jc w:val="center"/>
        <w:tblLook w:firstColumn="1" w:firstRow="1" w:lastColumn="0" w:lastRow="0" w:noHBand="0" w:noVBand="1" w:val="04A0"/>
      </w:tblPr>
      <w:tblGrid>
        <w:gridCol w:w="1656"/>
        <w:gridCol w:w="1656"/>
        <w:gridCol w:w="1656"/>
        <w:gridCol w:w="1656"/>
        <w:gridCol w:w="1656"/>
        <w:gridCol w:w="1656"/>
      </w:tblGrid>
      <w:tr>
        <w:tc>
          <w:tcPr>
            <w:tcW w:type="dxa" w:w="1656"/>
            <w:vAlign w:val="center"/>
          </w:tcPr>
          <w:p>
            <w:r>
              <w:rPr>
                <w:sz w:val="18"/>
              </w:rPr>
              <w:t>Condition</w:t>
            </w:r>
          </w:p>
        </w:tc>
        <w:tc>
          <w:tcPr>
            <w:tcW w:type="dxa" w:w="1656"/>
            <w:vAlign w:val="center"/>
          </w:tcPr>
          <w:p>
            <w:r>
              <w:rPr>
                <w:sz w:val="18"/>
              </w:rPr>
              <w:t>Accuracy</w:t>
            </w:r>
          </w:p>
        </w:tc>
        <w:tc>
          <w:tcPr>
            <w:tcW w:type="dxa" w:w="1656"/>
            <w:vAlign w:val="center"/>
          </w:tcPr>
          <w:p>
            <w:r>
              <w:rPr>
                <w:sz w:val="18"/>
              </w:rPr>
              <w:t>AI precision</w:t>
            </w:r>
          </w:p>
        </w:tc>
        <w:tc>
          <w:tcPr>
            <w:tcW w:type="dxa" w:w="1656"/>
            <w:vAlign w:val="center"/>
          </w:tcPr>
          <w:p>
            <w:r>
              <w:rPr>
                <w:sz w:val="18"/>
              </w:rPr>
              <w:t>AI recall</w:t>
            </w:r>
          </w:p>
        </w:tc>
        <w:tc>
          <w:tcPr>
            <w:tcW w:type="dxa" w:w="1656"/>
            <w:vAlign w:val="center"/>
          </w:tcPr>
          <w:p>
            <w:r>
              <w:rPr>
                <w:sz w:val="18"/>
              </w:rPr>
              <w:t>AI F1</w:t>
            </w:r>
          </w:p>
        </w:tc>
        <w:tc>
          <w:tcPr>
            <w:tcW w:type="dxa" w:w="1656"/>
            <w:vAlign w:val="center"/>
          </w:tcPr>
          <w:p>
            <w:r>
              <w:rPr>
                <w:sz w:val="18"/>
              </w:rPr>
              <w:t>FPR</w:t>
            </w:r>
          </w:p>
        </w:tc>
      </w:tr>
      <w:tr>
        <w:tc>
          <w:tcPr>
            <w:tcW w:type="dxa" w:w="1656"/>
            <w:vAlign w:val="center"/>
          </w:tcPr>
          <w:p>
            <w:r>
              <w:rPr>
                <w:sz w:val="18"/>
              </w:rPr>
              <w:t>Original AI</w:t>
            </w:r>
          </w:p>
        </w:tc>
        <w:tc>
          <w:tcPr>
            <w:tcW w:type="dxa" w:w="1656"/>
            <w:vAlign w:val="center"/>
          </w:tcPr>
          <w:p>
            <w:r>
              <w:rPr>
                <w:sz w:val="18"/>
              </w:rPr>
              <w:t>98.83%</w:t>
            </w:r>
          </w:p>
        </w:tc>
        <w:tc>
          <w:tcPr>
            <w:tcW w:type="dxa" w:w="1656"/>
            <w:vAlign w:val="center"/>
          </w:tcPr>
          <w:p>
            <w:r>
              <w:rPr>
                <w:sz w:val="18"/>
              </w:rPr>
              <w:t>99.66%</w:t>
            </w:r>
          </w:p>
        </w:tc>
        <w:tc>
          <w:tcPr>
            <w:tcW w:type="dxa" w:w="1656"/>
            <w:vAlign w:val="center"/>
          </w:tcPr>
          <w:p>
            <w:r>
              <w:rPr>
                <w:sz w:val="18"/>
              </w:rPr>
              <w:t>98.00%</w:t>
            </w:r>
          </w:p>
        </w:tc>
        <w:tc>
          <w:tcPr>
            <w:tcW w:type="dxa" w:w="1656"/>
            <w:vAlign w:val="center"/>
          </w:tcPr>
          <w:p>
            <w:r>
              <w:rPr>
                <w:sz w:val="18"/>
              </w:rPr>
              <w:t>98.82%</w:t>
            </w:r>
          </w:p>
        </w:tc>
        <w:tc>
          <w:tcPr>
            <w:tcW w:type="dxa" w:w="1656"/>
            <w:vAlign w:val="center"/>
          </w:tcPr>
          <w:p>
            <w:r>
              <w:rPr>
                <w:sz w:val="18"/>
              </w:rPr>
              <w:t>0.33%</w:t>
            </w:r>
          </w:p>
        </w:tc>
      </w:tr>
      <w:tr>
        <w:tc>
          <w:tcPr>
            <w:tcW w:type="dxa" w:w="1656"/>
            <w:vAlign w:val="center"/>
          </w:tcPr>
          <w:p>
            <w:r>
              <w:rPr>
                <w:sz w:val="18"/>
              </w:rPr>
              <w:t>Surface-edited AI</w:t>
            </w:r>
          </w:p>
        </w:tc>
        <w:tc>
          <w:tcPr>
            <w:tcW w:type="dxa" w:w="1656"/>
            <w:vAlign w:val="center"/>
          </w:tcPr>
          <w:p>
            <w:r>
              <w:rPr>
                <w:sz w:val="18"/>
              </w:rPr>
              <w:t>98.83%</w:t>
            </w:r>
          </w:p>
        </w:tc>
        <w:tc>
          <w:tcPr>
            <w:tcW w:type="dxa" w:w="1656"/>
            <w:vAlign w:val="center"/>
          </w:tcPr>
          <w:p>
            <w:r>
              <w:rPr>
                <w:sz w:val="18"/>
              </w:rPr>
              <w:t>99.66%</w:t>
            </w:r>
          </w:p>
        </w:tc>
        <w:tc>
          <w:tcPr>
            <w:tcW w:type="dxa" w:w="1656"/>
            <w:vAlign w:val="center"/>
          </w:tcPr>
          <w:p>
            <w:r>
              <w:rPr>
                <w:sz w:val="18"/>
              </w:rPr>
              <w:t>98.00%</w:t>
            </w:r>
          </w:p>
        </w:tc>
        <w:tc>
          <w:tcPr>
            <w:tcW w:type="dxa" w:w="1656"/>
            <w:vAlign w:val="center"/>
          </w:tcPr>
          <w:p>
            <w:r>
              <w:rPr>
                <w:sz w:val="18"/>
              </w:rPr>
              <w:t>98.82%</w:t>
            </w:r>
          </w:p>
        </w:tc>
        <w:tc>
          <w:tcPr>
            <w:tcW w:type="dxa" w:w="1656"/>
            <w:vAlign w:val="center"/>
          </w:tcPr>
          <w:p>
            <w:r>
              <w:rPr>
                <w:sz w:val="18"/>
              </w:rPr>
              <w:t>0.33%</w:t>
            </w:r>
          </w:p>
        </w:tc>
      </w:tr>
      <w:tr>
        <w:tc>
          <w:tcPr>
            <w:tcW w:type="dxa" w:w="1656"/>
            <w:vAlign w:val="center"/>
          </w:tcPr>
          <w:p>
            <w:r>
              <w:rPr>
                <w:sz w:val="18"/>
              </w:rPr>
              <w:t>Semantic paraphrase</w:t>
            </w:r>
          </w:p>
        </w:tc>
        <w:tc>
          <w:tcPr>
            <w:tcW w:type="dxa" w:w="1656"/>
            <w:vAlign w:val="center"/>
          </w:tcPr>
          <w:p>
            <w:r>
              <w:rPr>
                <w:sz w:val="18"/>
              </w:rPr>
              <w:t>89.67%</w:t>
            </w:r>
          </w:p>
        </w:tc>
        <w:tc>
          <w:tcPr>
            <w:tcW w:type="dxa" w:w="1656"/>
            <w:vAlign w:val="center"/>
          </w:tcPr>
          <w:p>
            <w:r>
              <w:rPr>
                <w:sz w:val="18"/>
              </w:rPr>
              <w:t>99.58%</w:t>
            </w:r>
          </w:p>
        </w:tc>
        <w:tc>
          <w:tcPr>
            <w:tcW w:type="dxa" w:w="1656"/>
            <w:vAlign w:val="center"/>
          </w:tcPr>
          <w:p>
            <w:r>
              <w:rPr>
                <w:sz w:val="18"/>
              </w:rPr>
              <w:t>79.67%</w:t>
            </w:r>
          </w:p>
        </w:tc>
        <w:tc>
          <w:tcPr>
            <w:tcW w:type="dxa" w:w="1656"/>
            <w:vAlign w:val="center"/>
          </w:tcPr>
          <w:p>
            <w:r>
              <w:rPr>
                <w:sz w:val="18"/>
              </w:rPr>
              <w:t>88.52%</w:t>
            </w:r>
          </w:p>
        </w:tc>
        <w:tc>
          <w:tcPr>
            <w:tcW w:type="dxa" w:w="1656"/>
            <w:vAlign w:val="center"/>
          </w:tcPr>
          <w:p>
            <w:r>
              <w:rPr>
                <w:sz w:val="18"/>
              </w:rPr>
              <w:t>0.33%</w:t>
            </w:r>
          </w:p>
        </w:tc>
      </w:tr>
    </w:tbl>
    <w:p>
      <w:pPr>
        <w:jc w:val="center"/>
      </w:pPr>
      <w:r>
        <w:drawing>
          <wp:inline xmlns:a="http://schemas.openxmlformats.org/drawingml/2006/main" xmlns:pic="http://schemas.openxmlformats.org/drawingml/2006/picture">
            <wp:extent cx="5852160" cy="3040183"/>
            <wp:docPr id="1" name="Picture 1"/>
            <wp:cNvGraphicFramePr>
              <a:graphicFrameLocks noChangeAspect="1"/>
            </wp:cNvGraphicFramePr>
            <a:graphic>
              <a:graphicData uri="http://schemas.openxmlformats.org/drawingml/2006/picture">
                <pic:pic>
                  <pic:nvPicPr>
                    <pic:cNvPr id="0" name="metrics_comparison.png"/>
                    <pic:cNvPicPr/>
                  </pic:nvPicPr>
                  <pic:blipFill>
                    <a:blip r:embed="rId9"/>
                    <a:stretch>
                      <a:fillRect/>
                    </a:stretch>
                  </pic:blipFill>
                  <pic:spPr>
                    <a:xfrm>
                      <a:off x="0" y="0"/>
                      <a:ext cx="5852160" cy="3040183"/>
                    </a:xfrm>
                    <a:prstGeom prst="rect"/>
                  </pic:spPr>
                </pic:pic>
              </a:graphicData>
            </a:graphic>
          </wp:inline>
        </w:drawing>
      </w:r>
    </w:p>
    <w:p>
      <w:pPr>
        <w:pStyle w:val="Heading2"/>
      </w:pPr>
      <w:r>
        <w:t>5.1 Confusion matrix counts</w:t>
      </w:r>
    </w:p>
    <w:p>
      <w:r>
        <w:t>Original AI: TN=299, FP=1, FN=6, TP=294. Surface-edited AI: TN=299, FP=1, FN=6, TP=294. Semantic paraphrase: TN=299, FP=1, FN=61, TP=239. The paraphrase condition produced 55 additional false negatives compared with the original condition.</w:t>
      </w:r>
    </w:p>
    <w:p>
      <w:pPr>
        <w:jc w:val="center"/>
      </w:pPr>
      <w:r>
        <w:drawing>
          <wp:inline xmlns:a="http://schemas.openxmlformats.org/drawingml/2006/main" xmlns:pic="http://schemas.openxmlformats.org/drawingml/2006/picture">
            <wp:extent cx="5943600" cy="2081320"/>
            <wp:docPr id="2" name="Picture 2"/>
            <wp:cNvGraphicFramePr>
              <a:graphicFrameLocks noChangeAspect="1"/>
            </wp:cNvGraphicFramePr>
            <a:graphic>
              <a:graphicData uri="http://schemas.openxmlformats.org/drawingml/2006/picture">
                <pic:pic>
                  <pic:nvPicPr>
                    <pic:cNvPr id="0" name="confusion_matrices.png"/>
                    <pic:cNvPicPr/>
                  </pic:nvPicPr>
                  <pic:blipFill>
                    <a:blip r:embed="rId10"/>
                    <a:stretch>
                      <a:fillRect/>
                    </a:stretch>
                  </pic:blipFill>
                  <pic:spPr>
                    <a:xfrm>
                      <a:off x="0" y="0"/>
                      <a:ext cx="5943600" cy="2081320"/>
                    </a:xfrm>
                    <a:prstGeom prst="rect"/>
                  </pic:spPr>
                </pic:pic>
              </a:graphicData>
            </a:graphic>
          </wp:inline>
        </w:drawing>
      </w:r>
    </w:p>
    <w:p>
      <w:pPr>
        <w:pStyle w:val="Heading2"/>
      </w:pPr>
      <w:r>
        <w:t>5.2 Source-level observations</w:t>
      </w:r>
    </w:p>
    <w:tbl>
      <w:tblPr>
        <w:tblStyle w:val="LightShading-Accent1"/>
        <w:tblW w:type="auto" w:w="0"/>
        <w:jc w:val="center"/>
        <w:tblLook w:firstColumn="1" w:firstRow="1" w:lastColumn="0" w:lastRow="0" w:noHBand="0" w:noVBand="1" w:val="04A0"/>
      </w:tblPr>
      <w:tblGrid>
        <w:gridCol w:w="2484"/>
        <w:gridCol w:w="2484"/>
        <w:gridCol w:w="2484"/>
        <w:gridCol w:w="2484"/>
      </w:tblGrid>
      <w:tr>
        <w:tc>
          <w:tcPr>
            <w:tcW w:type="dxa" w:w="2484"/>
          </w:tcPr>
          <w:p>
            <w:r>
              <w:t>Source</w:t>
            </w:r>
          </w:p>
        </w:tc>
        <w:tc>
          <w:tcPr>
            <w:tcW w:type="dxa" w:w="2484"/>
          </w:tcPr>
          <w:p>
            <w:r>
              <w:t>Original recall</w:t>
            </w:r>
          </w:p>
        </w:tc>
        <w:tc>
          <w:tcPr>
            <w:tcW w:type="dxa" w:w="2484"/>
          </w:tcPr>
          <w:p>
            <w:r>
              <w:t>Paraphrase recall</w:t>
            </w:r>
          </w:p>
        </w:tc>
        <w:tc>
          <w:tcPr>
            <w:tcW w:type="dxa" w:w="2484"/>
          </w:tcPr>
          <w:p>
            <w:r>
              <w:t>AI passages/source</w:t>
            </w:r>
          </w:p>
        </w:tc>
      </w:tr>
      <w:tr>
        <w:tc>
          <w:tcPr>
            <w:tcW w:type="dxa" w:w="2484"/>
          </w:tcPr>
          <w:p>
            <w:r>
              <w:t>Finance</w:t>
            </w:r>
          </w:p>
        </w:tc>
        <w:tc>
          <w:tcPr>
            <w:tcW w:type="dxa" w:w="2484"/>
          </w:tcPr>
          <w:p>
            <w:r>
              <w:t>100.00%</w:t>
            </w:r>
          </w:p>
        </w:tc>
        <w:tc>
          <w:tcPr>
            <w:tcW w:type="dxa" w:w="2484"/>
          </w:tcPr>
          <w:p>
            <w:r>
              <w:t>78.95%</w:t>
            </w:r>
          </w:p>
        </w:tc>
        <w:tc>
          <w:tcPr>
            <w:tcW w:type="dxa" w:w="2484"/>
          </w:tcPr>
          <w:p>
            <w:r>
              <w:t>38</w:t>
            </w:r>
          </w:p>
        </w:tc>
      </w:tr>
      <w:tr>
        <w:tc>
          <w:tcPr>
            <w:tcW w:type="dxa" w:w="2484"/>
          </w:tcPr>
          <w:p>
            <w:r>
              <w:t>Medicine</w:t>
            </w:r>
          </w:p>
        </w:tc>
        <w:tc>
          <w:tcPr>
            <w:tcW w:type="dxa" w:w="2484"/>
          </w:tcPr>
          <w:p>
            <w:r>
              <w:t>100.00%</w:t>
            </w:r>
          </w:p>
        </w:tc>
        <w:tc>
          <w:tcPr>
            <w:tcW w:type="dxa" w:w="2484"/>
          </w:tcPr>
          <w:p>
            <w:r>
              <w:t>100.00%</w:t>
            </w:r>
          </w:p>
        </w:tc>
        <w:tc>
          <w:tcPr>
            <w:tcW w:type="dxa" w:w="2484"/>
          </w:tcPr>
          <w:p>
            <w:r>
              <w:t>15</w:t>
            </w:r>
          </w:p>
        </w:tc>
      </w:tr>
      <w:tr>
        <w:tc>
          <w:tcPr>
            <w:tcW w:type="dxa" w:w="2484"/>
          </w:tcPr>
          <w:p>
            <w:r>
              <w:t>Open QA</w:t>
            </w:r>
          </w:p>
        </w:tc>
        <w:tc>
          <w:tcPr>
            <w:tcW w:type="dxa" w:w="2484"/>
          </w:tcPr>
          <w:p>
            <w:r>
              <w:t>95.45%</w:t>
            </w:r>
          </w:p>
        </w:tc>
        <w:tc>
          <w:tcPr>
            <w:tcW w:type="dxa" w:w="2484"/>
          </w:tcPr>
          <w:p>
            <w:r>
              <w:t>86.36%</w:t>
            </w:r>
          </w:p>
        </w:tc>
        <w:tc>
          <w:tcPr>
            <w:tcW w:type="dxa" w:w="2484"/>
          </w:tcPr>
          <w:p>
            <w:r>
              <w:t>22</w:t>
            </w:r>
          </w:p>
        </w:tc>
      </w:tr>
      <w:tr>
        <w:tc>
          <w:tcPr>
            <w:tcW w:type="dxa" w:w="2484"/>
          </w:tcPr>
          <w:p>
            <w:r>
              <w:t>Reddit ELI5</w:t>
            </w:r>
          </w:p>
        </w:tc>
        <w:tc>
          <w:tcPr>
            <w:tcW w:type="dxa" w:w="2484"/>
          </w:tcPr>
          <w:p>
            <w:r>
              <w:t>97.75%</w:t>
            </w:r>
          </w:p>
        </w:tc>
        <w:tc>
          <w:tcPr>
            <w:tcW w:type="dxa" w:w="2484"/>
          </w:tcPr>
          <w:p>
            <w:r>
              <w:t>77.93%</w:t>
            </w:r>
          </w:p>
        </w:tc>
        <w:tc>
          <w:tcPr>
            <w:tcW w:type="dxa" w:w="2484"/>
          </w:tcPr>
          <w:p>
            <w:r>
              <w:t>222</w:t>
            </w:r>
          </w:p>
        </w:tc>
      </w:tr>
      <w:tr>
        <w:tc>
          <w:tcPr>
            <w:tcW w:type="dxa" w:w="2484"/>
          </w:tcPr>
          <w:p>
            <w:r>
              <w:t>Wiki CSAI</w:t>
            </w:r>
          </w:p>
        </w:tc>
        <w:tc>
          <w:tcPr>
            <w:tcW w:type="dxa" w:w="2484"/>
          </w:tcPr>
          <w:p>
            <w:r>
              <w:t>100.00%</w:t>
            </w:r>
          </w:p>
        </w:tc>
        <w:tc>
          <w:tcPr>
            <w:tcW w:type="dxa" w:w="2484"/>
          </w:tcPr>
          <w:p>
            <w:r>
              <w:t>66.67%</w:t>
            </w:r>
          </w:p>
        </w:tc>
        <w:tc>
          <w:tcPr>
            <w:tcW w:type="dxa" w:w="2484"/>
          </w:tcPr>
          <w:p>
            <w:r>
              <w:t>3</w:t>
            </w:r>
          </w:p>
        </w:tc>
      </w:tr>
    </w:tbl>
    <w:p>
      <w:pPr>
        <w:jc w:val="center"/>
      </w:pPr>
      <w:r>
        <w:drawing>
          <wp:inline xmlns:a="http://schemas.openxmlformats.org/drawingml/2006/main" xmlns:pic="http://schemas.openxmlformats.org/drawingml/2006/picture">
            <wp:extent cx="5852160" cy="3126889"/>
            <wp:docPr id="3" name="Picture 3"/>
            <wp:cNvGraphicFramePr>
              <a:graphicFrameLocks noChangeAspect="1"/>
            </wp:cNvGraphicFramePr>
            <a:graphic>
              <a:graphicData uri="http://schemas.openxmlformats.org/drawingml/2006/picture">
                <pic:pic>
                  <pic:nvPicPr>
                    <pic:cNvPr id="0" name="source_recall.png"/>
                    <pic:cNvPicPr/>
                  </pic:nvPicPr>
                  <pic:blipFill>
                    <a:blip r:embed="rId11"/>
                    <a:stretch>
                      <a:fillRect/>
                    </a:stretch>
                  </pic:blipFill>
                  <pic:spPr>
                    <a:xfrm>
                      <a:off x="0" y="0"/>
                      <a:ext cx="5852160" cy="3126889"/>
                    </a:xfrm>
                    <a:prstGeom prst="rect"/>
                  </pic:spPr>
                </pic:pic>
              </a:graphicData>
            </a:graphic>
          </wp:inline>
        </w:drawing>
      </w:r>
    </w:p>
    <w:p>
      <w:r>
        <w:t>Recall declined for Finance (100.00% to 78.95%), Open QA (95.45% to 86.36%), Reddit ELI5 (97.75% to 77.93%), and Wiki CSAI (100.00% to 66.67%). Medicine remained at 100.00% in this sample. These source-specific results require caution because group sizes are unequal and some are very small: Wiki CSAI has only three AI passages and Medicine has 15.</w:t>
      </w:r>
    </w:p>
    <w:p>
      <w:pPr>
        <w:pStyle w:val="Heading1"/>
      </w:pPr>
      <w:r>
        <w:t>6. Discussion</w:t>
      </w:r>
    </w:p>
    <w:p>
      <w:r>
        <w:t>The results support H1 for the tested surface transformations: aggregate metrics and confusion matrix counts were unchanged at the reported precision. The results support H2 in this experiment: semantic paraphrasing reduced AI recall by 18.33 percentage points, from 98.00% to 79.67%. Missed AI passages increased from 6 to 61, while the false positive rate remained 0.33%. This suggests that the learned word-pattern signals were relatively stable under the tested surface edits but less stable after more substantial rewriting.</w:t>
      </w:r>
    </w:p>
    <w:p>
      <w:pPr>
        <w:pStyle w:val="Heading1"/>
      </w:pPr>
      <w:r>
        <w:t>7. Failure cases and limitations</w:t>
      </w:r>
    </w:p>
    <w:p>
      <w:pPr>
        <w:pStyle w:val="ListBullet"/>
      </w:pPr>
      <w:r>
        <w:t>Paraphrase fidelity: manual inspection found outputs that changed facts, introduced inconsistencies, or omitted important details. For example, one paraphrase changed the calculation claim in a 1 GHz processor explanation, and another changed an apple example to pencils. Paraphrase quality was not guaranteed.</w:t>
      </w:r>
    </w:p>
    <w:p>
      <w:pPr>
        <w:pStyle w:val="ListBullet"/>
      </w:pPr>
      <w:r>
        <w:t>Sample size: the final paired evaluation includes 300 question topics. Results may vary with a larger sample.</w:t>
      </w:r>
    </w:p>
    <w:p>
      <w:pPr>
        <w:pStyle w:val="ListBullet"/>
      </w:pPr>
      <w:r>
        <w:t>Source imbalance: Reddit ELI5 dominates the paired sample. Source-level findings for small groups are unstable.</w:t>
      </w:r>
    </w:p>
    <w:p>
      <w:pPr>
        <w:pStyle w:val="ListBullet"/>
      </w:pPr>
      <w:r>
        <w:t>Model scope: only one classical detector and one paraphrasing model were tested. Results do not generalize automatically to neural detectors or other paraphrasers.</w:t>
      </w:r>
    </w:p>
    <w:p>
      <w:pPr>
        <w:pStyle w:val="ListBullet"/>
      </w:pPr>
      <w:r>
        <w:t>Interpretation: strong scores on this dataset do not establish that AI-text detection is reliable for high-stakes individual decisions. The experiment tests a specific dataset, classifier, and transformation pipeline.</w:t>
      </w:r>
    </w:p>
    <w:p>
      <w:pPr>
        <w:pStyle w:val="ListBullet"/>
      </w:pPr>
      <w:r>
        <w:t>Surface edits: the tested edits were limited and deterministic. More diverse edits, human editing, and stronger paraphrasing should be evaluated.</w:t>
      </w:r>
    </w:p>
    <w:p>
      <w:pPr>
        <w:pStyle w:val="Heading1"/>
      </w:pPr>
      <w:r>
        <w:t>8. Conclusion and future work</w:t>
      </w:r>
    </w:p>
    <w:p>
      <w:r>
        <w:t>On the controlled 300-pair evaluation, the TF–IDF/LinearSVC detector achieved 98.83% accuracy and 98.00% AI recall for original AI text. The tested surface edits did not measurably change performance. Semantic paraphrases reduced accuracy to 89.67% and AI recall to 79.67%, with false negatives increasing from 6 to 61. The central conclusion is that strong performance on original text did not guarantee robustness to generated paraphrases.</w:t>
      </w:r>
    </w:p>
    <w:p>
      <w:r>
        <w:t>Future work should (1) manually assess meaning preservation and report both raw and quality-filtered results, (2) increase sample size and balance sources, (3) test multiple detectors and paraphrasers, (4) include human-written edits, and (5) evaluate robustness across domains and writing styles.</w:t>
      </w:r>
    </w:p>
    <w:p>
      <w:pPr>
        <w:pStyle w:val="Heading1"/>
      </w:pPr>
      <w:r>
        <w:t>References</w:t>
      </w:r>
    </w:p>
    <w:p>
      <w:r>
        <w:t>Guo, B. et al. (2023). How Close is ChatGPT to Human Experts? Comparison Corpus, Evaluation, and Detection. arXiv:2301.07597. https://arxiv.org/abs/2301.07597</w:t>
      </w:r>
    </w:p>
    <w:p>
      <w:r>
        <w:t>HC3 dataset repository: https://huggingface.co/datasets/Hello-SimpleAI/HC3</w:t>
      </w:r>
    </w:p>
    <w:p>
      <w:r>
        <w:t>Paraphrasing model: humarin/chatgpt_paraphraser_on_T5_base. https://huggingface.co/humarin/chatgpt_paraphraser_on_T5_base</w:t>
      </w:r>
    </w:p>
    <w:p>
      <w:r>
        <w:t>Reproducibility note: metrics are transcribed from the completed project run. Retain the original experiment scripts and generated CSV/JSON outputs as the source of exact predictions and metrics.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