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market-feasibility-study"/>
    <w:p>
      <w:pPr>
        <w:pStyle w:val="Heading1"/>
      </w:pPr>
      <w:r>
        <w:t xml:space="preserve">MARKET FEASIBILITY STUDY</w:t>
      </w:r>
    </w:p>
    <w:p>
      <w:pPr>
        <w:pStyle w:val="FirstParagraph"/>
      </w:pPr>
      <w:r>
        <w:rPr>
          <w:b/>
          <w:bCs/>
        </w:rPr>
        <w:t xml:space="preserve">Firm:</w:t>
      </w:r>
      <w:r>
        <w:t xml:space="preserve"> </w:t>
      </w:r>
      <w:r>
        <w:t xml:space="preserve">CoStar Advisory</w:t>
      </w:r>
      <w:r>
        <w:t xml:space="preserve"> </w:t>
      </w:r>
      <w:r>
        <w:rPr>
          <w:b/>
          <w:bCs/>
        </w:rPr>
        <w:t xml:space="preserve">MSA:</w:t>
      </w:r>
      <w:r>
        <w:t xml:space="preserve"> </w:t>
      </w:r>
      <w:r>
        <w:t xml:space="preserve">Dallas-Fort Worth-Arlington, TX</w:t>
      </w:r>
      <w:r>
        <w:t xml:space="preserve"> </w:t>
      </w:r>
      <w:r>
        <w:rPr>
          <w:b/>
          <w:bCs/>
        </w:rPr>
        <w:t xml:space="preserve">Submarket:</w:t>
      </w:r>
      <w:r>
        <w:t xml:space="preserve"> </w:t>
      </w:r>
      <w:r>
        <w:t xml:space="preserve">Deep Ellum / Farmers Market</w:t>
      </w:r>
    </w:p>
    <w:bookmarkStart w:id="9" w:name="demographics-3-mile"/>
    <w:p>
      <w:pPr>
        <w:pStyle w:val="Heading2"/>
      </w:pPr>
      <w:r>
        <w:t xml:space="preserve">Demographics (3-Mile)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Pop:</w:t>
      </w:r>
      <w:r>
        <w:t xml:space="preserve"> </w:t>
      </w:r>
      <w:r>
        <w:t xml:space="preserve">174,270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Growth:</w:t>
      </w:r>
      <w:r>
        <w:t xml:space="preserve"> </w:t>
      </w:r>
      <w:r>
        <w:t xml:space="preserve">23.3% (Hist), 6.9% (Proj)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 Income:</w:t>
      </w:r>
      <w:r>
        <w:t xml:space="preserve"> </w:t>
      </w:r>
      <w:r>
        <w:t xml:space="preserve">$85,906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Renter %:</w:t>
      </w:r>
      <w:r>
        <w:t xml:space="preserve"> </w:t>
      </w:r>
      <w:r>
        <w:t xml:space="preserve">76.7%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Crime Risk:</w:t>
      </w:r>
      <w:r>
        <w:t xml:space="preserve"> </w:t>
      </w:r>
      <w:r>
        <w:t xml:space="preserve">Moderate</w:t>
      </w:r>
    </w:p>
    <w:bookmarkEnd w:id="9"/>
    <w:bookmarkStart w:id="10" w:name="supplydemand"/>
    <w:p>
      <w:pPr>
        <w:pStyle w:val="Heading2"/>
      </w:pPr>
      <w:r>
        <w:t xml:space="preserve">Supply/Demand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Absorption:</w:t>
      </w:r>
      <w:r>
        <w:t xml:space="preserve"> </w:t>
      </w:r>
      <w:r>
        <w:t xml:space="preserve">12 units/month (Submarket)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Supply Pipeline:</w:t>
      </w:r>
      <w:r>
        <w:t xml:space="preserve"> </w:t>
      </w:r>
      <w:r>
        <w:t xml:space="preserve">1,200 Units (Under Const + Planned)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Vacancy:</w:t>
      </w:r>
      <w:r>
        <w:t xml:space="preserve"> </w:t>
      </w:r>
      <w:r>
        <w:t xml:space="preserve">6.5% (Stabilized)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Penetration Rate:</w:t>
      </w:r>
      <w:r>
        <w:t xml:space="preserve"> </w:t>
      </w:r>
      <w:r>
        <w:t xml:space="preserve">2.1%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Broadband:</w:t>
      </w:r>
      <w:r>
        <w:t xml:space="preserve"> </w:t>
      </w:r>
      <w:r>
        <w:t xml:space="preserve">Fiber 1Gbps Available (AT&amp;T/Spectrum)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Catalyst:</w:t>
      </w:r>
      <w:r>
        <w:t xml:space="preserve"> </w:t>
      </w:r>
      <w:r>
        <w:t xml:space="preserve">New Light Rail Station (0.3 mi)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Infra Budget:</w:t>
      </w:r>
      <w:r>
        <w:t xml:space="preserve"> </w:t>
      </w:r>
      <w:r>
        <w:t xml:space="preserve">$250,000,000 (D2 Subway)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Infra Completion:</w:t>
      </w:r>
      <w:r>
        <w:t xml:space="preserve"> </w:t>
      </w:r>
      <w:r>
        <w:t xml:space="preserve">2029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2025-12-04T08:44:14Z</dcterms:created>
  <dcterms:modified xsi:type="dcterms:W3CDTF">2025-12-04T08:44:14Z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