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loan-term-sheet"/>
    <w:p>
      <w:pPr>
        <w:pStyle w:val="Heading1"/>
      </w:pPr>
      <w:r>
        <w:t xml:space="preserve">LOAN TERM SHEET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Term Sheet Received</w:t>
      </w:r>
      <w:r>
        <w:t xml:space="preserve"> </w:t>
      </w:r>
      <w:r>
        <w:rPr>
          <w:b/>
          <w:bCs/>
        </w:rPr>
        <w:t xml:space="preserve">Lender:</w:t>
      </w:r>
      <w:r>
        <w:t xml:space="preserve"> </w:t>
      </w:r>
      <w:r>
        <w:t xml:space="preserve">Big City Bank</w:t>
      </w:r>
      <w:r>
        <w:t xml:space="preserve"> </w:t>
      </w:r>
      <w:r>
        <w:rPr>
          <w:b/>
          <w:bCs/>
        </w:rPr>
        <w:t xml:space="preserve">Borrower:</w:t>
      </w:r>
      <w:r>
        <w:t xml:space="preserve"> </w:t>
      </w:r>
      <w:r>
        <w:t xml:space="preserve">SoGood Apartments LP</w:t>
      </w:r>
    </w:p>
    <w:bookmarkStart w:id="9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Loan Type:</w:t>
      </w:r>
      <w:r>
        <w:t xml:space="preserve"> </w:t>
      </w:r>
      <w:r>
        <w:t xml:space="preserve">Construction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Amount:</w:t>
      </w:r>
      <w:r>
        <w:t xml:space="preserve"> </w:t>
      </w:r>
      <w:r>
        <w:t xml:space="preserve">$18,000,000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Interest Rate Type:</w:t>
      </w:r>
      <w:r>
        <w:t xml:space="preserve"> </w:t>
      </w:r>
      <w:r>
        <w:t xml:space="preserve">Floating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Rate:</w:t>
      </w:r>
      <w:r>
        <w:t xml:space="preserve"> </w:t>
      </w:r>
      <w:r>
        <w:t xml:space="preserve">SOFR + 3.50% (8.00% Current)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Underwriting Rate:</w:t>
      </w:r>
      <w:r>
        <w:t xml:space="preserve"> </w:t>
      </w:r>
      <w:r>
        <w:t xml:space="preserve">10.00% (Stress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Amortization:</w:t>
      </w:r>
      <w:r>
        <w:t xml:space="preserve"> </w:t>
      </w:r>
      <w:r>
        <w:t xml:space="preserve">Interest Only (36 Mos)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Term:</w:t>
      </w:r>
      <w:r>
        <w:t xml:space="preserve"> </w:t>
      </w:r>
      <w:r>
        <w:t xml:space="preserve">3 Years + 1 Year 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LTC:</w:t>
      </w:r>
      <w:r>
        <w:t xml:space="preserve"> </w:t>
      </w:r>
      <w:r>
        <w:t xml:space="preserve">60% Target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Recourse:</w:t>
      </w:r>
      <w:r>
        <w:t xml:space="preserve"> </w:t>
      </w:r>
      <w:r>
        <w:t xml:space="preserve">Partial Recourse (50% burning to 25% at Stabilization)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Prepayment:</w:t>
      </w:r>
      <w:r>
        <w:t xml:space="preserve"> </w:t>
      </w:r>
      <w:r>
        <w:t xml:space="preserve">Yield Maintenance first 12 mos, Open thereafter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Guarantors:</w:t>
      </w:r>
      <w:r>
        <w:t xml:space="preserve"> </w:t>
      </w:r>
      <w:r>
        <w:t xml:space="preserve">Mike Hoque, Joel Heikenfeld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Covenants:</w:t>
      </w:r>
      <w:r>
        <w:t xml:space="preserve"> </w:t>
      </w:r>
      <w:r>
        <w:t xml:space="preserve">Min Net Worth &gt; Loan Amount, Min Liquidity &gt; 10% Loan Amount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2025-12-04T08:44:14Z</dcterms:created>
  <dcterms:modified xsi:type="dcterms:W3CDTF">2025-12-04T08:44:14Z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