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Property Specifications Report</w:t>
      </w:r>
    </w:p>
    <w:p>
      <w:pPr>
        <w:pStyle w:val="Heading1"/>
      </w:pPr>
      <w:r>
        <w:t>Property Specifications</w:t>
      </w:r>
    </w:p>
    <w:p>
      <w:r>
        <w:rPr>
          <w:b/>
        </w:rPr>
        <w:t xml:space="preserve">Studio Count: </w:t>
      </w:r>
      <w:r>
        <w:t>493</w:t>
      </w:r>
    </w:p>
    <w:p>
      <w:r>
        <w:rPr>
          <w:b/>
        </w:rPr>
        <w:t xml:space="preserve">Commercial Parking Obligation: </w:t>
      </w:r>
      <w:r>
        <w:t>Mock Commercial Parking Obligation Data</w:t>
      </w:r>
    </w:p>
    <w:p>
      <w:r>
        <w:rPr>
          <w:b/>
        </w:rPr>
        <w:t xml:space="preserve">Model Units: </w:t>
      </w:r>
      <w:r>
        <w:t>7</w:t>
      </w:r>
    </w:p>
    <w:p>
      <w:r>
        <w:rPr>
          <w:b/>
        </w:rPr>
        <w:t xml:space="preserve">Luxury Tier: </w:t>
      </w:r>
      <w:r>
        <w:t>Mock Luxury Tier Data</w:t>
      </w:r>
    </w:p>
    <w:p>
      <w:r>
        <w:rPr>
          <w:b/>
        </w:rPr>
        <w:t xml:space="preserve">Alteration Consent Threshold: </w:t>
      </w:r>
      <w:r>
        <w:t>50.74</w:t>
      </w:r>
    </w:p>
    <w:p>
      <w:r>
        <w:rPr>
          <w:b/>
        </w:rPr>
        <w:t xml:space="preserve">Commercial GRSF: </w:t>
      </w:r>
      <w:r>
        <w:t>426,154 SF</w:t>
      </w:r>
    </w:p>
    <w:p>
      <w:r>
        <w:rPr>
          <w:b/>
        </w:rPr>
        <w:t xml:space="preserve">Net Rentable SF (NRSF): </w:t>
      </w:r>
      <w:r>
        <w:t>213,844 SF</w:t>
      </w:r>
    </w:p>
    <w:p>
      <w:r>
        <w:rPr>
          <w:b/>
        </w:rPr>
        <w:t xml:space="preserve">1-Bed Count: </w:t>
      </w:r>
      <w:r>
        <w:t>421</w:t>
      </w:r>
    </w:p>
    <w:p>
      <w:r>
        <w:rPr>
          <w:b/>
        </w:rPr>
        <w:t xml:space="preserve">Parking Spaces: </w:t>
      </w:r>
      <w:r>
        <w:t>Mock Parking Spaces Data</w:t>
      </w:r>
    </w:p>
    <w:p>
      <w:r>
        <w:rPr>
          <w:b/>
        </w:rPr>
        <w:t xml:space="preserve">amenitySF: </w:t>
      </w:r>
      <w:r>
        <w:t>108,633 SF</w:t>
      </w:r>
    </w:p>
    <w:p>
      <w:r>
        <w:rPr>
          <w:b/>
        </w:rPr>
        <w:t xml:space="preserve">Loss to Lease %: </w:t>
      </w:r>
      <w:r>
        <w:t>Mock Loss to Lease % Data</w:t>
      </w:r>
    </w:p>
    <w:p>
      <w:r>
        <w:rPr>
          <w:b/>
        </w:rPr>
        <w:t xml:space="preserve">Prohibited Commercial Uses: </w:t>
      </w:r>
      <w:r>
        <w:t>Mock Prohibited Commercial Uses Data</w:t>
      </w:r>
    </w:p>
    <w:p>
      <w:r>
        <w:rPr>
          <w:b/>
        </w:rPr>
        <w:t xml:space="preserve">Number of Stories: </w:t>
      </w:r>
      <w:r>
        <w:t>289</w:t>
      </w:r>
    </w:p>
    <w:p>
      <w:r>
        <w:rPr>
          <w:b/>
        </w:rPr>
        <w:t xml:space="preserve">Hardwood Floors: </w:t>
      </w:r>
      <w:r>
        <w:t>Mock Hardwood Floors Data</w:t>
      </w:r>
    </w:p>
    <w:p>
      <w:r>
        <w:rPr>
          <w:b/>
        </w:rPr>
        <w:t xml:space="preserve">Admin Review Fee: </w:t>
      </w:r>
      <w:r>
        <w:t>$74,686</w:t>
      </w:r>
    </w:p>
    <w:p>
      <w:r>
        <w:rPr>
          <w:b/>
        </w:rPr>
        <w:t xml:space="preserve">Unit Entry Type: </w:t>
      </w:r>
      <w:r>
        <w:t>Mock Unit Entry Type Data</w:t>
      </w:r>
    </w:p>
    <w:p>
      <w:r>
        <w:rPr>
          <w:b/>
        </w:rPr>
        <w:t xml:space="preserve">Total Amenities: </w:t>
      </w:r>
      <w:r>
        <w:t>Mock Total Amenities Data</w:t>
      </w:r>
    </w:p>
    <w:p>
      <w:r>
        <w:rPr>
          <w:b/>
        </w:rPr>
        <w:t xml:space="preserve">In-Unit W/D: </w:t>
      </w:r>
      <w:r>
        <w:t>Mock In-Unit W/D Data</w:t>
      </w:r>
    </w:p>
    <w:p>
      <w:r>
        <w:rPr>
          <w:b/>
        </w:rPr>
        <w:t xml:space="preserve">Roof Type/Age: </w:t>
      </w:r>
      <w:r>
        <w:t>Mock Roof Type/Age Data</w:t>
      </w:r>
    </w:p>
    <w:p>
      <w:r>
        <w:rPr>
          <w:b/>
        </w:rPr>
        <w:t xml:space="preserve">Parking Ratio: </w:t>
      </w:r>
      <w:r>
        <w:t>78.48</w:t>
      </w:r>
    </w:p>
    <w:p>
      <w:r>
        <w:rPr>
          <w:b/>
        </w:rPr>
        <w:t xml:space="preserve">2-Bed Count: </w:t>
      </w:r>
      <w:r>
        <w:t>143</w:t>
      </w:r>
    </w:p>
    <w:p>
      <w:r>
        <w:rPr>
          <w:b/>
        </w:rPr>
        <w:t xml:space="preserve">Unit Plan Description: </w:t>
      </w:r>
      <w:r>
        <w:t>This is a high-end luxury mixed-use development located in a prime growth submarket.</w:t>
      </w:r>
    </w:p>
    <w:p>
      <w:r>
        <w:rPr>
          <w:b/>
        </w:rPr>
        <w:t xml:space="preserve">Kitchen Island: </w:t>
      </w:r>
      <w:r>
        <w:t>Yes</w:t>
      </w:r>
    </w:p>
    <w:p>
      <w:r>
        <w:rPr>
          <w:b/>
        </w:rPr>
        <w:t xml:space="preserve">Building Type: </w:t>
      </w:r>
      <w:r>
        <w:t>Mock Building Type Data</w:t>
      </w:r>
    </w:p>
    <w:p>
      <w:r>
        <w:rPr>
          <w:b/>
        </w:rPr>
        <w:t xml:space="preserve">Min Operating Area Req: </w:t>
      </w:r>
      <w:r>
        <w:t>387,534 SF</w:t>
      </w:r>
    </w:p>
    <w:p>
      <w:r>
        <w:rPr>
          <w:b/>
        </w:rPr>
        <w:t xml:space="preserve">Unit Balcony Count: </w:t>
      </w:r>
      <w:r>
        <w:t>142</w:t>
      </w:r>
    </w:p>
    <w:p>
      <w:r>
        <w:rPr>
          <w:b/>
        </w:rPr>
        <w:t xml:space="preserve">HVAC System: </w:t>
      </w:r>
      <w:r>
        <w:t>Mock HVAC System Data</w:t>
      </w:r>
    </w:p>
    <w:p>
      <w:r>
        <w:rPr>
          <w:b/>
        </w:rPr>
        <w:t xml:space="preserve">Solar Capacity (kW): </w:t>
      </w:r>
      <w:r>
        <w:t>Mock Solar Capacity (kW) Data</w:t>
      </w:r>
    </w:p>
    <w:p>
      <w:r>
        <w:rPr>
          <w:b/>
        </w:rPr>
        <w:t xml:space="preserve">Building Efficiency (%): </w:t>
      </w:r>
      <w:r>
        <w:t>70.18</w:t>
      </w:r>
    </w:p>
    <w:p>
      <w:r>
        <w:rPr>
          <w:b/>
        </w:rPr>
        <w:t xml:space="preserve">ADA Compliant %: </w:t>
      </w:r>
      <w:r>
        <w:t>6.15%</w:t>
      </w:r>
    </w:p>
    <w:p>
      <w:r>
        <w:rPr>
          <w:b/>
        </w:rPr>
        <w:t xml:space="preserve">Avg Unit Size (SF): </w:t>
      </w:r>
      <w:r>
        <w:t>70,891 SF</w:t>
      </w:r>
    </w:p>
    <w:p>
      <w:r>
        <w:rPr>
          <w:b/>
        </w:rPr>
        <w:t xml:space="preserve">Amenity Space Type: </w:t>
      </w:r>
      <w:r>
        <w:t>Mock Amenity Space Type Data</w:t>
      </w:r>
    </w:p>
    <w:p>
      <w:r>
        <w:rPr>
          <w:b/>
        </w:rPr>
        <w:t xml:space="preserve">Amenity Access: </w:t>
      </w:r>
      <w:r>
        <w:t>Mock Amenity Access Data</w:t>
      </w:r>
    </w:p>
    <w:p>
      <w:r>
        <w:rPr>
          <w:b/>
        </w:rPr>
        <w:t xml:space="preserve">Metering Structure: </w:t>
      </w:r>
      <w:r>
        <w:t>Mock Metering Structure Data</w:t>
      </w:r>
    </w:p>
    <w:p>
      <w:r>
        <w:rPr>
          <w:b/>
        </w:rPr>
        <w:t xml:space="preserve">Residential Unit Mix: </w:t>
      </w:r>
      <w:r>
        <w:t>Mock Residential Unit Mix Data</w:t>
      </w:r>
    </w:p>
    <w:p>
      <w:r>
        <w:rPr>
          <w:b/>
        </w:rPr>
        <w:t xml:space="preserve">Short Term Rentals: </w:t>
      </w:r>
      <w:r>
        <w:t>408</w:t>
      </w:r>
    </w:p>
    <w:p>
      <w:r>
        <w:rPr>
          <w:b/>
        </w:rPr>
        <w:t xml:space="preserve">Commercial NRSF: </w:t>
      </w:r>
      <w:r>
        <w:t>253,444 SF</w:t>
      </w:r>
    </w:p>
    <w:p>
      <w:r>
        <w:rPr>
          <w:b/>
        </w:rPr>
        <w:t xml:space="preserve">Commercial Vending Ban: </w:t>
      </w:r>
      <w:r>
        <w:t>Mock Commercial Vending Ban Data</w:t>
      </w:r>
    </w:p>
    <w:p>
      <w:r>
        <w:rPr>
          <w:b/>
        </w:rPr>
        <w:t xml:space="preserve">Parking Type: </w:t>
      </w:r>
      <w:r>
        <w:t>Mock Parking Type Data</w:t>
      </w:r>
    </w:p>
    <w:p>
      <w:r>
        <w:rPr>
          <w:b/>
        </w:rPr>
        <w:t xml:space="preserve">Gross Building Area (SF): </w:t>
      </w:r>
      <w:r>
        <w:t>300,530 SF</w:t>
      </w:r>
    </w:p>
    <w:p>
      <w:r>
        <w:rPr>
          <w:b/>
        </w:rPr>
        <w:t xml:space="preserve">EV Charging Stations: </w:t>
      </w:r>
      <w:r>
        <w:t>Mock EV Charging Stations Data</w:t>
      </w:r>
    </w:p>
    <w:p>
      <w:r>
        <w:rPr>
          <w:b/>
        </w:rPr>
        <w:t xml:space="preserve">Amenity List: </w:t>
      </w:r>
      <w:r>
        <w:t>N/A</w:t>
      </w:r>
    </w:p>
    <w:p>
      <w:r>
        <w:rPr>
          <w:b/>
        </w:rPr>
        <w:t xml:space="preserve">Avg Amenity Size (SF): </w:t>
      </w:r>
      <w:r>
        <w:t>225,311 SF</w:t>
      </w:r>
    </w:p>
    <w:p>
      <w:r>
        <w:rPr>
          <w:b/>
        </w:rPr>
        <w:t xml:space="preserve">Furnished Units?: </w:t>
      </w:r>
      <w:r>
        <w:t>178</w:t>
      </w:r>
    </w:p>
    <w:p>
      <w:r>
        <w:rPr>
          <w:b/>
        </w:rPr>
        <w:t xml:space="preserve">Common Area Furnishings: </w:t>
      </w:r>
      <w:r>
        <w:t>372,808 SF</w:t>
      </w:r>
    </w:p>
    <w:p>
      <w:r>
        <w:rPr>
          <w:b/>
        </w:rPr>
        <w:t xml:space="preserve">3-Bed Count: </w:t>
      </w:r>
      <w:r>
        <w:t>32</w:t>
      </w:r>
    </w:p>
    <w:p>
      <w:r>
        <w:rPr>
          <w:b/>
        </w:rPr>
        <w:t xml:space="preserve">Competitive Position: </w:t>
      </w:r>
      <w:r>
        <w:t>Mock Competitive Position Data</w:t>
      </w:r>
    </w:p>
    <w:p>
      <w:r>
        <w:rPr>
          <w:b/>
        </w:rPr>
        <w:t xml:space="preserve">Net Residential Parking: </w:t>
      </w:r>
      <w:r>
        <w:t>78</w:t>
      </w:r>
    </w:p>
    <w:p>
      <w:r>
        <w:rPr>
          <w:b/>
        </w:rPr>
        <w:t xml:space="preserve">Commercial Space Mix: </w:t>
      </w:r>
      <w:r>
        <w:t>Mock Commercial Space Mix Data</w:t>
      </w:r>
    </w:p>
    <w:p>
      <w:r>
        <w:rPr>
          <w:b/>
        </w:rPr>
        <w:t xml:space="preserve">Target Market: </w:t>
      </w:r>
      <w:r>
        <w:t>Mock Target Market Data</w:t>
      </w:r>
    </w:p>
    <w:p>
      <w:r>
        <w:rPr>
          <w:b/>
        </w:rPr>
        <w:t xml:space="preserve">LEED/Green Rating: </w:t>
      </w:r>
      <w:r>
        <w:t>Mock LEED/Green Rating Data</w:t>
      </w:r>
    </w:p>
    <w:p>
      <w:r>
        <w:rPr>
          <w:b/>
        </w:rPr>
        <w:t xml:space="preserve">Total Units: </w:t>
      </w:r>
      <w:r>
        <w:t>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