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operating-agreement-extract"/>
    <w:p>
      <w:pPr>
        <w:pStyle w:val="Heading1"/>
      </w:pPr>
      <w:r>
        <w:t xml:space="preserve">OPERATING AGREEMENT EXTRACT</w:t>
      </w:r>
    </w:p>
    <w:p>
      <w:pPr>
        <w:pStyle w:val="FirstParagraph"/>
      </w:pPr>
      <w:r>
        <w:rPr>
          <w:b/>
          <w:bCs/>
        </w:rPr>
        <w:t xml:space="preserve">Entity:</w:t>
      </w:r>
      <w:r>
        <w:t xml:space="preserve"> </w:t>
      </w:r>
      <w:r>
        <w:t xml:space="preserve">SoGood Apartments 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 2024</w:t>
      </w:r>
    </w:p>
    <w:bookmarkStart w:id="9" w:name="ownership-structure"/>
    <w:p>
      <w:pPr>
        <w:pStyle w:val="Heading2"/>
      </w:pPr>
      <w:r>
        <w:t xml:space="preserve">Ownership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Hoque Global, LLC (100% of GP Interest)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Managing Member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Signatory:</w:t>
      </w:r>
      <w:r>
        <w:t xml:space="preserve"> </w:t>
      </w:r>
      <w:r>
        <w:t xml:space="preserve">Mike Hoque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Limited Partner:</w:t>
      </w:r>
      <w:r>
        <w:t xml:space="preserve"> </w:t>
      </w:r>
      <w:r>
        <w:t xml:space="preserve">ACARA Fund IV (99.9% of LP Interest)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Equity Partner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Syndication:</w:t>
      </w:r>
      <w:r>
        <w:t xml:space="preserve"> </w:t>
      </w:r>
      <w:r>
        <w:t xml:space="preserve">Committed</w:t>
      </w:r>
    </w:p>
    <w:bookmarkEnd w:id="9"/>
    <w:bookmarkStart w:id="10" w:name="principal-ownership-table"/>
    <w:p>
      <w:pPr>
        <w:pStyle w:val="Heading2"/>
      </w:pPr>
      <w:r>
        <w:t xml:space="preserve">Principal Ownership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Mike Hoque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ACARA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90.00%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2025-12-04T08:47:46Z</dcterms:created>
  <dcterms:modified xsi:type="dcterms:W3CDTF">2025-12-04T08:47:46Z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