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/>
          <w:color w:val="4F81BD"/>
          <w:sz w:val="28"/>
        </w:rPr>
        <w:t>Verified by Capmatch</w:t>
      </w:r>
    </w:p>
    <w:p>
      <w:pPr>
        <w:pStyle w:val="Title"/>
        <w:jc w:val="center"/>
      </w:pPr>
      <w:r>
        <w:t>Sponsor Resume</w:t>
      </w:r>
    </w:p>
    <w:p>
      <w:pPr>
        <w:pStyle w:val="Heading1"/>
      </w:pPr>
      <w:r>
        <w:t>Sponsor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Sponsor Name / Entity</w:t>
            </w:r>
          </w:p>
        </w:tc>
        <w:tc>
          <w:tcPr>
            <w:tcW w:type="dxa" w:w="4320"/>
          </w:tcPr>
          <w:p>
            <w:r>
              <w:t>Hoque Global Development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Key Principal(s)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Structure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Geographic Focus</w:t>
            </w:r>
          </w:p>
        </w:tc>
        <w:tc>
          <w:tcPr>
            <w:tcW w:type="dxa" w:w="4320"/>
          </w:tcPr>
          <w:p>
            <w:r>
              <w:t>Southwest, Southeast</w:t>
            </w:r>
          </w:p>
        </w:tc>
      </w:tr>
    </w:tbl>
    <w:p/>
    <w:p>
      <w:pPr>
        <w:pStyle w:val="Heading1"/>
      </w:pPr>
      <w:r>
        <w:t>Executive Bio</w:t>
      </w:r>
    </w:p>
    <w:p>
      <w:pPr>
        <w:jc w:val="both"/>
      </w:pPr>
      <w:r>
        <w:t>Experienced real estate developer with over 15 years in commercial real estate, specializing in multifamily and hospitality projects across the Southwest and Southeast regions.</w:t>
      </w:r>
    </w:p>
    <w:p/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Years of Experience</w:t>
            </w:r>
          </w:p>
        </w:tc>
        <w:tc>
          <w:tcPr>
            <w:tcW w:type="dxa" w:w="4320"/>
          </w:tcPr>
          <w:p>
            <w:r>
              <w:t>11-15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Assets Under Management (AUM)</w:t>
            </w:r>
          </w:p>
        </w:tc>
        <w:tc>
          <w:tcPr>
            <w:tcW w:type="dxa" w:w="4320"/>
          </w:tcPr>
          <w:p>
            <w:r>
              <w:t>$150,000,000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Transaction Volume</w:t>
            </w:r>
          </w:p>
        </w:tc>
        <w:tc>
          <w:tcPr>
            <w:tcW w:type="dxa" w:w="4320"/>
          </w:tcPr>
          <w:p>
            <w:r>
              <w:t>$250M-$500M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SqFt Managed</w:t>
            </w:r>
          </w:p>
        </w:tc>
        <w:tc>
          <w:tcPr>
            <w:tcW w:type="dxa" w:w="4320"/>
          </w:tcPr>
          <w:p>
            <w:r>
              <w:t>350,000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 Developments Count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Asset Classes</w:t>
      </w:r>
    </w:p>
    <w:p>
      <w:r>
        <w:t>Multifamily, Hospitality, Mixed-Use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