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E78"/>
          <w:sz w:val="56"/>
        </w:rPr>
        <w:t>GEOTECHNICAL REPORT</w:t>
      </w:r>
    </w:p>
    <w:p>
      <w:pPr>
        <w:jc w:val="center"/>
      </w:pPr>
      <w:r>
        <w:rPr>
          <w:color w:val="2E75B6"/>
          <w:sz w:val="32"/>
        </w:rPr>
        <w:t>So-Good Apartments JV LLC</w:t>
      </w:r>
    </w:p>
    <w:p>
      <w:pPr>
        <w:jc w:val="center"/>
      </w:pPr>
      <w:r>
        <w:rPr>
          <w:color w:val="707070"/>
          <w:sz w:val="24"/>
        </w:rPr>
        <w:t>Springfield, Illinois</w:t>
      </w:r>
    </w:p>
    <w:p/>
    <w:p>
      <w:pPr>
        <w:jc w:val="center"/>
      </w:pPr>
      <w:r>
        <w:rPr>
          <w:color w:val="2E75B6"/>
          <w:sz w:val="20"/>
        </w:rPr>
        <w:t>━━━━━━━━━━━━━━━━━━━━━━━━━━━━━━━━━━━━━━━━━━━━━━━━━━</w:t>
      </w:r>
    </w:p>
    <w:p/>
    <w:p>
      <w:pPr>
        <w:jc w:val="center"/>
      </w:pPr>
      <w:r>
        <w:rPr>
          <w:i/>
          <w:color w:val="999999"/>
          <w:sz w:val="18"/>
        </w:rPr>
        <w:t>CONFIDENTIAL — FOR AUTHORIZED USE ONLY</w:t>
      </w:r>
    </w:p>
    <w:p>
      <w:r>
        <w:br w:type="page"/>
      </w:r>
    </w:p>
    <w:p>
      <w:pPr>
        <w:pStyle w:val="Heading1"/>
      </w:pPr>
      <w:r>
        <w:rPr>
          <w:color w:val="1F4E78"/>
          <w:sz w:val="36"/>
        </w:rPr>
        <w:t>Geotechnical Exploration Report: So-Good Apartments</w:t>
      </w:r>
    </w:p>
    <w:p>
      <w:r>
        <w:rPr>
          <w:b/>
          <w:color w:val="1F4E78"/>
          <w:sz w:val="22"/>
        </w:rPr>
        <w:t>Project Name:</w:t>
      </w:r>
      <w:r>
        <w:rPr>
          <w:color w:val="333333"/>
          <w:sz w:val="22"/>
        </w:rPr>
        <w:t xml:space="preserve"> So-Good Apartments</w:t>
      </w:r>
    </w:p>
    <w:p>
      <w:r>
        <w:rPr>
          <w:b/>
          <w:color w:val="1F4E78"/>
          <w:sz w:val="22"/>
        </w:rPr>
        <w:t>Location:</w:t>
      </w:r>
      <w:r>
        <w:rPr>
          <w:color w:val="333333"/>
          <w:sz w:val="22"/>
        </w:rPr>
        <w:t xml:space="preserve"> 1234 Main Street, Springfield, [State - assumed generic Midwestern/East Coast]</w:t>
      </w:r>
    </w:p>
    <w:p>
      <w:r>
        <w:rPr>
          <w:b/>
          <w:color w:val="1F4E78"/>
          <w:sz w:val="22"/>
        </w:rPr>
        <w:t>Client:</w:t>
      </w:r>
      <w:r>
        <w:rPr>
          <w:color w:val="333333"/>
          <w:sz w:val="22"/>
        </w:rPr>
        <w:t xml:space="preserve"> Evergreen Development Group LLC</w:t>
      </w:r>
    </w:p>
    <w:p>
      <w:r>
        <w:rPr>
          <w:b/>
          <w:color w:val="1F4E78"/>
          <w:sz w:val="22"/>
        </w:rPr>
        <w:t>Date of Report:</w:t>
      </w:r>
      <w:r>
        <w:rPr>
          <w:color w:val="333333"/>
          <w:sz w:val="22"/>
        </w:rPr>
        <w:t xml:space="preserve"> October 26, 2023</w:t>
      </w:r>
    </w:p>
    <w:p>
      <w:r>
        <w:rPr>
          <w:b/>
          <w:color w:val="1F4E78"/>
          <w:sz w:val="22"/>
        </w:rPr>
        <w:t>Prepared By:</w:t>
      </w:r>
      <w:r>
        <w:rPr>
          <w:color w:val="333333"/>
          <w:sz w:val="22"/>
        </w:rPr>
        <w:t xml:space="preserve"> Apex Geo-Consultants, LLC (for purposes of this report)</w:t>
      </w:r>
    </w:p>
    <w:p>
      <w:r>
        <w:rPr>
          <w:b/>
          <w:color w:val="1F4E78"/>
          <w:sz w:val="22"/>
        </w:rPr>
        <w:t>Reference Project Value:</w:t>
      </w:r>
      <w:r>
        <w:rPr>
          <w:color w:val="333333"/>
          <w:sz w:val="22"/>
        </w:rPr>
        <w:t xml:space="preserve"> Approximately $65,000,000 USD</w:t>
      </w:r>
    </w:p>
    <w:p>
      <w:pPr>
        <w:pStyle w:val="Heading2"/>
      </w:pPr>
      <w:r>
        <w:rPr>
          <w:color w:val="2E75B6"/>
          <w:sz w:val="30"/>
        </w:rPr>
        <w:t>1.0 Executive Summary</w:t>
      </w:r>
    </w:p>
    <w:p>
      <w:r>
        <w:rPr>
          <w:color w:val="333333"/>
          <w:sz w:val="22"/>
        </w:rPr>
        <w:t>This geotechnical exploration report presents the findings, analyses, and recommendations pertaining to the subsurface conditions at the proposed So-Good Apartments multi-family development site located at 1234 Main Street, Springfield. The proposed development entails the construction of a multi-story residential complex comprising approximately 250 units, with associated parking structures and ancillary facilities, projecting significant structural loads.</w:t>
      </w:r>
    </w:p>
    <w:p>
      <w:r>
        <w:rPr>
          <w:color w:val="333333"/>
          <w:sz w:val="22"/>
        </w:rPr>
        <w:t>Our comprehensive investigation, encompassing three (3) test borings advanced to depths ranging from 45 to 55 feet below existing grade, coupled with extensive laboratory testing, reveals a subsurface profile generally characterized by surficial fill overlying stiff to very stiff silty clays, medium dense silty sands, and very stiff clayey silts. Groundwater was encountered at depths between 12 and 14 feet BGS.</w:t>
      </w:r>
    </w:p>
    <w:p>
      <w:r>
        <w:rPr>
          <w:color w:val="333333"/>
          <w:sz w:val="22"/>
        </w:rPr>
        <w:t xml:space="preserve">Based on our analyses, shallow spread footings, designed with an allowable net bearing pressure of </w:t>
      </w:r>
      <w:r>
        <w:rPr>
          <w:b/>
          <w:color w:val="1F4E78"/>
          <w:sz w:val="22"/>
        </w:rPr>
        <w:t>3,500 pounds per square foot (psf)</w:t>
      </w:r>
      <w:r>
        <w:rPr>
          <w:color w:val="333333"/>
          <w:sz w:val="22"/>
        </w:rPr>
        <w:t>, are deemed suitable for supporting the proposed structural loads, provided they are founded in the native, undisturbed stiff silty clay or medium dense silty sand strata at a minimum depth of 3.5 feet below finished grade. Anticipated total settlement is projected to be less than 1.0 inch, with differential settlement not exceeding 0.5 inch over 50 feet, which is within tolerable limits for the proposed rigid structural system.</w:t>
      </w:r>
    </w:p>
    <w:p>
      <w:r>
        <w:rPr>
          <w:color w:val="333333"/>
          <w:sz w:val="22"/>
        </w:rPr>
        <w:t>Key recommendations herein include strict earthwork protocols, the implementation of a robust moisture barrier system beneath slab-on-grade areas, and adherence to specific seismic design parameters. This report constitutes a critical component of the preliminary due diligence required for project underwriting and risk mitigation, affirming the geotechnical feasibility of the So-Good Apartments development under the stipulated conditions. It is imperative that these recommendations be rigorously incorporated into the final design and construction specifications to safeguard the long-term structural integrity and economic viability of the asset.</w:t>
      </w:r>
    </w:p>
    <w:p>
      <w:pPr>
        <w:pStyle w:val="Heading2"/>
      </w:pPr>
      <w:r>
        <w:rPr>
          <w:color w:val="2E75B6"/>
          <w:sz w:val="30"/>
        </w:rPr>
        <w:t>2.0 Project Description</w:t>
      </w:r>
    </w:p>
    <w:p>
      <w:r>
        <w:rPr>
          <w:color w:val="333333"/>
          <w:sz w:val="22"/>
        </w:rPr>
        <w:t xml:space="preserve">The proposed So-Good Apartments development is envisioned as a Class A multi-family residential complex, encompassing an estimated gross building area of 350,000 square feet. The project will feature two (2) primary structures: a 6-story residential building with a footprint of approximately 45,000 square feet, and a 2-story integrated parking garage totaling 80,000 square feet. Anticipated maximum column loads for the residential structure are estimated to be up to </w:t>
      </w:r>
      <w:r>
        <w:rPr>
          <w:b/>
          <w:color w:val="1F4E78"/>
          <w:sz w:val="22"/>
        </w:rPr>
        <w:t>450 kips (450,000 pounds)</w:t>
      </w:r>
      <w:r>
        <w:rPr>
          <w:color w:val="333333"/>
          <w:sz w:val="22"/>
        </w:rPr>
        <w:t xml:space="preserve">, with continuous wall loads reaching </w:t>
      </w:r>
      <w:r>
        <w:rPr>
          <w:b/>
          <w:color w:val="1F4E78"/>
          <w:sz w:val="22"/>
        </w:rPr>
        <w:t>10 kips per linear foot</w:t>
      </w:r>
      <w:r>
        <w:rPr>
          <w:color w:val="333333"/>
          <w:sz w:val="22"/>
        </w:rPr>
        <w:t xml:space="preserve">. The parking structure will impose lighter loads, generally not exceeding </w:t>
      </w:r>
      <w:r>
        <w:rPr>
          <w:b/>
          <w:color w:val="1F4E78"/>
          <w:sz w:val="22"/>
        </w:rPr>
        <w:t>150 kips</w:t>
      </w:r>
      <w:r>
        <w:rPr>
          <w:color w:val="333333"/>
          <w:sz w:val="22"/>
        </w:rPr>
        <w:t xml:space="preserve"> per column. Ground floor slabs for both residential and parking areas are anticipated to be slab-on-grade construction. The total development cost is projected at approximately $65,000,000 USD, necessitating a comprehensive understanding of all underlying site risks, inclusive of geotechnical considerations, to satisfy lender underwriting covenants and investor return expectations.</w:t>
      </w:r>
    </w:p>
    <w:p>
      <w:pPr>
        <w:pStyle w:val="Heading2"/>
      </w:pPr>
      <w:r>
        <w:rPr>
          <w:color w:val="2E75B6"/>
          <w:sz w:val="30"/>
        </w:rPr>
        <w:t>3.0 Scope of Work</w:t>
      </w:r>
    </w:p>
    <w:p>
      <w:r>
        <w:rPr>
          <w:color w:val="333333"/>
          <w:sz w:val="22"/>
        </w:rPr>
        <w:t>The scope of this geotechnical investigation was executed in accordance with prevailing industry standards and comprised the following principal tasks:</w:t>
      </w:r>
    </w:p>
    <w:p>
      <w:pPr>
        <w:pStyle w:val="ListBullet"/>
        <w:ind w:left="720"/>
      </w:pPr>
      <w:r>
        <w:rPr>
          <w:b/>
          <w:color w:val="1F4E78"/>
          <w:sz w:val="22"/>
        </w:rPr>
        <w:t>Site Reconnaissance:</w:t>
      </w:r>
      <w:r>
        <w:rPr>
          <w:color w:val="333333"/>
          <w:sz w:val="22"/>
        </w:rPr>
        <w:t xml:space="preserve"> A thorough visual inspection of the site topography, existing surface features, and adjacent property conditions.</w:t>
      </w:r>
    </w:p>
    <w:p>
      <w:pPr>
        <w:pStyle w:val="ListBullet"/>
        <w:ind w:left="720"/>
      </w:pPr>
      <w:r>
        <w:rPr>
          <w:b/>
          <w:color w:val="1F4E78"/>
          <w:sz w:val="22"/>
        </w:rPr>
        <w:t>Subsurface Exploration:</w:t>
      </w:r>
      <w:r>
        <w:rPr>
          <w:color w:val="333333"/>
          <w:sz w:val="22"/>
        </w:rPr>
        <w:t xml:space="preserve"> Advancement of three (3) Standard Penetration Test (SPT) borings (designated B-1, B-2, B-3) utilizing a truck-mounted drill rig. Borings were advanced to depths of 50 feet (B-1), 55 feet (B-2), and 45 feet (B-3) below existing ground surface, respectively. Soil samples were collected at regular intervals and classified in the field by a supervising geotechnical engineer.</w:t>
      </w:r>
    </w:p>
    <w:p>
      <w:pPr>
        <w:pStyle w:val="ListBullet"/>
        <w:ind w:left="720"/>
      </w:pPr>
      <w:r>
        <w:rPr>
          <w:b/>
          <w:color w:val="1F4E78"/>
          <w:sz w:val="22"/>
        </w:rPr>
        <w:t>Laboratory Testing:</w:t>
      </w:r>
      <w:r>
        <w:rPr>
          <w:color w:val="333333"/>
          <w:sz w:val="22"/>
        </w:rPr>
        <w:t xml:space="preserve"> A comprehensive suite of laboratory tests was performed on selected representative soil samples to ascertain pertinent engineering properties. This included natural moisture content, Atterberg limits (liquid limit, plastic limit), sieve analysis, unconfined compressive strength (UCS) for cohesive soils, and consolidation testing.</w:t>
      </w:r>
    </w:p>
    <w:p>
      <w:pPr>
        <w:pStyle w:val="ListBullet"/>
        <w:ind w:left="720"/>
      </w:pPr>
      <w:r>
        <w:rPr>
          <w:b/>
          <w:color w:val="1F4E78"/>
          <w:sz w:val="22"/>
        </w:rPr>
        <w:t>Engineering Analysis:</w:t>
      </w:r>
      <w:r>
        <w:rPr>
          <w:color w:val="333333"/>
          <w:sz w:val="22"/>
        </w:rPr>
        <w:t xml:space="preserve"> Evaluation of collected data to determine soil stratigraphy, groundwater conditions, engineering parameters, and to perform bearing capacity, settlement, and seismic liquefaction potential analyses.</w:t>
      </w:r>
    </w:p>
    <w:p>
      <w:pPr>
        <w:pStyle w:val="ListBullet"/>
        <w:ind w:left="720"/>
      </w:pPr>
      <w:r>
        <w:rPr>
          <w:b/>
          <w:color w:val="1F4E78"/>
          <w:sz w:val="22"/>
        </w:rPr>
        <w:t>Reporting:</w:t>
      </w:r>
      <w:r>
        <w:rPr>
          <w:color w:val="333333"/>
          <w:sz w:val="22"/>
        </w:rPr>
        <w:t xml:space="preserve"> Preparation of this detailed geotechnical report presenting findings, conclusions, and specific design and construction recommendations.</w:t>
      </w:r>
    </w:p>
    <w:p>
      <w:pPr>
        <w:pStyle w:val="Heading2"/>
      </w:pPr>
      <w:r>
        <w:rPr>
          <w:color w:val="2E75B6"/>
          <w:sz w:val="30"/>
        </w:rPr>
        <w:t>4.0 Site Description and Regional Geology</w:t>
      </w:r>
    </w:p>
    <w:p>
      <w:r>
        <w:rPr>
          <w:color w:val="333333"/>
          <w:sz w:val="22"/>
        </w:rPr>
        <w:t>The project site, approximately 3.5 acres in size, is currently undeveloped, characterized by a gently sloping topography with an approximate elevation differential of 5 feet from the northwest to the southeast corners. Surface cover consists primarily of native grasses and sparse brush. No existing structures or significant paved areas were observed.</w:t>
      </w:r>
    </w:p>
    <w:p>
      <w:r>
        <w:rPr>
          <w:color w:val="333333"/>
          <w:sz w:val="22"/>
        </w:rPr>
        <w:t>Regionally, Springfield is situated within a physiographic province characterized by Pleistocene glacial till deposits overlying bedrock. The local geology typically consists of an overburden sequence of Quaternary-age alluvial and glacial deposits, predominantly composed of heterogeneous mixtures of clays, silts, sands, and gravels, often interbedded. Underlying bedrock, likely shale or sandstone, is anticipated at considerable depths, generally exceeding 100 feet in this locale, and is not a direct concern for the proposed shallow foundation system. The presence of such surficial deposits necessitates careful evaluation for variability and competency.</w:t>
      </w:r>
    </w:p>
    <w:p>
      <w:pPr>
        <w:pStyle w:val="Heading2"/>
      </w:pPr>
      <w:r>
        <w:rPr>
          <w:color w:val="2E75B6"/>
          <w:sz w:val="30"/>
        </w:rPr>
        <w:t>5.0 Subsurface Conditions</w:t>
      </w:r>
    </w:p>
    <w:p>
      <w:pPr>
        <w:pStyle w:val="Heading3"/>
      </w:pPr>
      <w:r>
        <w:rPr>
          <w:color w:val="2E75B6"/>
          <w:sz w:val="26"/>
        </w:rPr>
        <w:t>5.1 Soil Stratigraphy</w:t>
      </w:r>
    </w:p>
    <w:p>
      <w:r>
        <w:rPr>
          <w:color w:val="333333"/>
          <w:sz w:val="22"/>
        </w:rPr>
        <w:t>The subsurface conditions encountered in the three test borings exhibited general consistency across the site. The generalized soil profile, from the ground surface downward, is as follows:</w:t>
      </w:r>
    </w:p>
    <w:p>
      <w:pPr>
        <w:pStyle w:val="ListBullet"/>
        <w:ind w:left="720"/>
      </w:pPr>
      <w:r>
        <w:rPr>
          <w:b/>
          <w:color w:val="1F4E78"/>
          <w:sz w:val="22"/>
        </w:rPr>
        <w:t>Layer 1: Fill Material (0.0 to 2.5 feet BGS):</w:t>
      </w:r>
    </w:p>
    <w:p>
      <w:pPr>
        <w:pStyle w:val="ListBullet"/>
        <w:ind w:left="1080"/>
      </w:pPr>
      <w:r>
        <w:rPr>
          <w:color w:val="333333"/>
          <w:sz w:val="22"/>
        </w:rPr>
        <w:t>Description: Brownish-gray, loose to medium dense, silty sand with varying amounts of gravel and organics. This layer is indicative of historical site grading.</w:t>
      </w:r>
    </w:p>
    <w:p>
      <w:pPr>
        <w:pStyle w:val="ListBullet"/>
        <w:ind w:left="1080"/>
      </w:pPr>
      <w:r>
        <w:rPr>
          <w:color w:val="333333"/>
          <w:sz w:val="22"/>
        </w:rPr>
        <w:t>SPT N-values: Ranged from 6 to 12 blows per foot (bpf).</w:t>
      </w:r>
    </w:p>
    <w:p>
      <w:pPr>
        <w:pStyle w:val="ListBullet"/>
        <w:ind w:left="1080"/>
      </w:pPr>
      <w:r>
        <w:rPr>
          <w:color w:val="333333"/>
          <w:sz w:val="22"/>
        </w:rPr>
        <w:t>Remarks: This material is considered unsuitable for direct foundation support due to its heterogeneous nature and susceptibility to compaction-induced settlement.</w:t>
      </w:r>
    </w:p>
    <w:p>
      <w:pPr>
        <w:pStyle w:val="ListBullet"/>
        <w:ind w:left="720"/>
      </w:pPr>
      <w:r>
        <w:rPr>
          <w:b/>
          <w:color w:val="1F4E78"/>
          <w:sz w:val="22"/>
        </w:rPr>
        <w:t>Layer 2: Stiff to Very Stiff Silty Clay (CL) (2.5 to 16.0 feet BGS):</w:t>
      </w:r>
    </w:p>
    <w:p>
      <w:pPr>
        <w:pStyle w:val="ListBullet"/>
        <w:ind w:left="1080"/>
      </w:pPr>
      <w:r>
        <w:rPr>
          <w:color w:val="333333"/>
          <w:sz w:val="22"/>
        </w:rPr>
        <w:t>Description: Brown to dark brown, stiff to very stiff, moist, low plasticity silty clay. This appears to be a weathered zone of the native glacial till.</w:t>
      </w:r>
    </w:p>
    <w:p>
      <w:pPr>
        <w:pStyle w:val="ListBullet"/>
        <w:ind w:left="1080"/>
      </w:pPr>
      <w:r>
        <w:rPr>
          <w:color w:val="333333"/>
          <w:sz w:val="22"/>
        </w:rPr>
        <w:t>SPT N-values: Ranged from 18 to 32 bpf, indicating competent bearing strata.</w:t>
      </w:r>
    </w:p>
    <w:p>
      <w:pPr>
        <w:pStyle w:val="ListBullet"/>
        <w:ind w:left="1080"/>
      </w:pPr>
      <w:r>
        <w:rPr>
          <w:color w:val="333333"/>
          <w:sz w:val="22"/>
        </w:rPr>
        <w:t xml:space="preserve">Laboratory Results: Natural moisture content (NMC) averaged 24%; Plastic Limit (PL) = 18%; Liquid Limit (LL) = 42%; Plasticity Index (PI) = 24. Unconfined Compressive Strength (Qu) averaged </w:t>
      </w:r>
      <w:r>
        <w:rPr>
          <w:b/>
          <w:color w:val="1F4E78"/>
          <w:sz w:val="22"/>
        </w:rPr>
        <w:t>2,800 psf</w:t>
      </w:r>
      <w:r>
        <w:rPr>
          <w:color w:val="333333"/>
          <w:sz w:val="22"/>
        </w:rPr>
        <w:t>.</w:t>
      </w:r>
    </w:p>
    <w:p>
      <w:pPr>
        <w:pStyle w:val="ListBullet"/>
        <w:ind w:left="720"/>
      </w:pPr>
      <w:r>
        <w:rPr>
          <w:b/>
          <w:color w:val="1F4E78"/>
          <w:sz w:val="22"/>
        </w:rPr>
        <w:t>Layer 3: Medium Dense Silty Sand (SM) (16.0 to 28.0 feet BGS):</w:t>
      </w:r>
    </w:p>
    <w:p>
      <w:pPr>
        <w:pStyle w:val="ListBullet"/>
        <w:ind w:left="1080"/>
      </w:pPr>
      <w:r>
        <w:rPr>
          <w:color w:val="333333"/>
          <w:sz w:val="22"/>
        </w:rPr>
        <w:t>Description: Grayish-brown, medium dense, moist, fine to medium-grained silty sand with trace gravel. This layer appears lenticular in nature.</w:t>
      </w:r>
    </w:p>
    <w:p>
      <w:pPr>
        <w:pStyle w:val="ListBullet"/>
        <w:ind w:left="1080"/>
      </w:pPr>
      <w:r>
        <w:rPr>
          <w:color w:val="333333"/>
          <w:sz w:val="22"/>
        </w:rPr>
        <w:t>SPT N-values: Ranged from 25 to 45 bpf.</w:t>
      </w:r>
    </w:p>
    <w:p>
      <w:pPr>
        <w:pStyle w:val="ListBullet"/>
        <w:ind w:left="1080"/>
      </w:pPr>
      <w:r>
        <w:rPr>
          <w:color w:val="333333"/>
          <w:sz w:val="22"/>
        </w:rPr>
        <w:t>Laboratory Results: Fines content (passing #200 sieve) averaged 18%.</w:t>
      </w:r>
    </w:p>
    <w:p>
      <w:pPr>
        <w:pStyle w:val="ListBullet"/>
        <w:ind w:left="720"/>
      </w:pPr>
      <w:r>
        <w:rPr>
          <w:b/>
          <w:color w:val="1F4E78"/>
          <w:sz w:val="22"/>
        </w:rPr>
        <w:t>Layer 4: Very Stiff Clayey Silt (ML) (28.0 to 55.0+ feet BGS):</w:t>
      </w:r>
    </w:p>
    <w:p>
      <w:pPr>
        <w:pStyle w:val="ListBullet"/>
        <w:ind w:left="1080"/>
      </w:pPr>
      <w:r>
        <w:rPr>
          <w:color w:val="333333"/>
          <w:sz w:val="22"/>
        </w:rPr>
        <w:t>Description: Gray, very stiff, moist, high plasticity clayey silt. This layer represents a deeper, more consolidated native deposit.</w:t>
      </w:r>
    </w:p>
    <w:p>
      <w:pPr>
        <w:pStyle w:val="ListBullet"/>
        <w:ind w:left="1080"/>
      </w:pPr>
      <w:r>
        <w:rPr>
          <w:color w:val="333333"/>
          <w:sz w:val="22"/>
        </w:rPr>
        <w:t>SPT N-values: Ranged from 35 to 60+ bpf, indicating very stiff to hard consistency.</w:t>
      </w:r>
    </w:p>
    <w:p>
      <w:pPr>
        <w:pStyle w:val="ListBullet"/>
        <w:ind w:left="1080"/>
      </w:pPr>
      <w:r>
        <w:rPr>
          <w:color w:val="333333"/>
          <w:sz w:val="22"/>
        </w:rPr>
        <w:t>Laboratory Results: NMC averaged 20%; PL = 20%; LL = 48%; PI = 28. Consolidation tests indicated a recompression index (Cr) of 0.03 and a compression index (Cc) of 0.18, with an overconsolidation ratio (OCR) estimated at 2.0.</w:t>
      </w:r>
    </w:p>
    <w:p>
      <w:pPr>
        <w:pStyle w:val="Heading3"/>
      </w:pPr>
      <w:r>
        <w:rPr>
          <w:color w:val="2E75B6"/>
          <w:sz w:val="26"/>
        </w:rPr>
        <w:t>5.2 Groundwater Conditions</w:t>
      </w:r>
    </w:p>
    <w:p>
      <w:r>
        <w:rPr>
          <w:color w:val="333333"/>
          <w:sz w:val="22"/>
        </w:rPr>
        <w:t xml:space="preserve">Groundwater was encountered in the boreholes at depths ranging from </w:t>
      </w:r>
      <w:r>
        <w:rPr>
          <w:b/>
          <w:color w:val="1F4E78"/>
          <w:sz w:val="22"/>
        </w:rPr>
        <w:t>12 to 14 feet below existing ground surface</w:t>
      </w:r>
      <w:r>
        <w:rPr>
          <w:color w:val="333333"/>
          <w:sz w:val="22"/>
        </w:rPr>
        <w:t xml:space="preserve"> at the time of drilling (October 18-20, 2023). It is important to note that groundwater levels are subject to seasonal fluctuations, precipitation, and regional hydrological conditions. A rise of up to 5 feet above the observed levels during prolonged wet periods is plausible and should be considered for dewatering plans during deeper excavations, if required. No perched water tables were observed.</w:t>
      </w:r>
    </w:p>
    <w:p>
      <w:pPr>
        <w:pStyle w:val="Heading2"/>
      </w:pPr>
      <w:r>
        <w:rPr>
          <w:color w:val="2E75B6"/>
          <w:sz w:val="30"/>
        </w:rPr>
        <w:t>6.0 Geotechnical Analysis and Recommendations</w:t>
      </w:r>
    </w:p>
    <w:p>
      <w:pPr>
        <w:pStyle w:val="Heading3"/>
      </w:pPr>
      <w:r>
        <w:rPr>
          <w:color w:val="2E75B6"/>
          <w:sz w:val="26"/>
        </w:rPr>
        <w:t>6.1 Foundation Recommendations</w:t>
      </w:r>
    </w:p>
    <w:p>
      <w:r>
        <w:rPr>
          <w:color w:val="333333"/>
          <w:sz w:val="22"/>
        </w:rPr>
        <w:t>Based on the subsurface conditions and anticipated structural loads, shallow spread footings are recommended for the So-Good Apartments development.</w:t>
      </w:r>
    </w:p>
    <w:p>
      <w:pPr>
        <w:pStyle w:val="ListBullet"/>
        <w:ind w:left="720"/>
      </w:pPr>
      <w:r>
        <w:rPr>
          <w:b/>
          <w:color w:val="1F4E78"/>
          <w:sz w:val="22"/>
        </w:rPr>
        <w:t>Foundation Type:</w:t>
      </w:r>
      <w:r>
        <w:rPr>
          <w:color w:val="333333"/>
          <w:sz w:val="22"/>
        </w:rPr>
        <w:t xml:space="preserve"> Continuous strip footings for bearing walls and isolated spread footings for columns.</w:t>
      </w:r>
    </w:p>
    <w:p>
      <w:pPr>
        <w:pStyle w:val="ListBullet"/>
        <w:ind w:left="720"/>
      </w:pPr>
      <w:r>
        <w:rPr>
          <w:b/>
          <w:color w:val="1F4E78"/>
          <w:sz w:val="22"/>
        </w:rPr>
        <w:t>Bearing Strata:</w:t>
      </w:r>
      <w:r>
        <w:rPr>
          <w:color w:val="333333"/>
          <w:sz w:val="22"/>
        </w:rPr>
        <w:t xml:space="preserve"> All footings shall be founded on the native, undisturbed stiff silty clay (Layer 2) or medium dense silty sand (Layer 3) at a minimum depth of </w:t>
      </w:r>
      <w:r>
        <w:rPr>
          <w:b/>
          <w:color w:val="1F4E78"/>
          <w:sz w:val="22"/>
        </w:rPr>
        <w:t>3.5 feet below finished exterior grade</w:t>
      </w:r>
      <w:r>
        <w:rPr>
          <w:color w:val="333333"/>
          <w:sz w:val="22"/>
        </w:rPr>
        <w:t>. Any unsuitable fill material (Layer 1) or other deleterious soils within the foundation influence zone must be completely removed and replaced with engineered fill compacted to 95% of its maximum dry density (ASTM D1557).</w:t>
      </w:r>
    </w:p>
    <w:p>
      <w:pPr>
        <w:pStyle w:val="ListBullet"/>
        <w:ind w:left="720"/>
      </w:pPr>
      <w:r>
        <w:rPr>
          <w:b/>
          <w:color w:val="1F4E78"/>
          <w:sz w:val="22"/>
        </w:rPr>
        <w:t>Allowable Bearing Pressure:</w:t>
      </w:r>
      <w:r>
        <w:rPr>
          <w:color w:val="333333"/>
          <w:sz w:val="22"/>
        </w:rPr>
        <w:t xml:space="preserve"> An </w:t>
      </w:r>
      <w:r>
        <w:rPr>
          <w:b/>
          <w:color w:val="1F4E78"/>
          <w:sz w:val="22"/>
        </w:rPr>
        <w:t>allowable net bearing pressure of 3,500 psf</w:t>
      </w:r>
      <w:r>
        <w:rPr>
          <w:color w:val="333333"/>
          <w:sz w:val="22"/>
        </w:rPr>
        <w:t xml:space="preserve"> is recommended for design purposes. This value incorporates a factor of safety of at least 3 against shear failure.</w:t>
      </w:r>
    </w:p>
    <w:p>
      <w:pPr>
        <w:pStyle w:val="ListBullet"/>
        <w:ind w:left="720"/>
      </w:pPr>
      <w:r>
        <w:rPr>
          <w:b/>
          <w:color w:val="1F4E78"/>
          <w:sz w:val="22"/>
        </w:rPr>
        <w:t>Minimum Dimensions:</w:t>
      </w:r>
    </w:p>
    <w:p>
      <w:pPr>
        <w:pStyle w:val="ListBullet"/>
        <w:ind w:left="1080"/>
      </w:pPr>
      <w:r>
        <w:rPr>
          <w:color w:val="333333"/>
          <w:sz w:val="22"/>
        </w:rPr>
        <w:t>Isolated column footings: Minimum 3.0 feet x 3.0 feet.</w:t>
      </w:r>
    </w:p>
    <w:p>
      <w:pPr>
        <w:pStyle w:val="ListBullet"/>
        <w:ind w:left="1080"/>
      </w:pPr>
      <w:r>
        <w:rPr>
          <w:color w:val="333333"/>
          <w:sz w:val="22"/>
        </w:rPr>
        <w:t>Continuous wall footings: Minimum 24 inches wide.</w:t>
      </w:r>
    </w:p>
    <w:p>
      <w:pPr>
        <w:pStyle w:val="ListBullet"/>
        <w:ind w:left="720"/>
      </w:pPr>
      <w:r>
        <w:rPr>
          <w:b/>
          <w:color w:val="1F4E78"/>
          <w:sz w:val="22"/>
        </w:rPr>
        <w:t>Settlement:</w:t>
      </w:r>
      <w:r>
        <w:rPr>
          <w:color w:val="333333"/>
          <w:sz w:val="22"/>
        </w:rPr>
        <w:t xml:space="preserve"> Total settlement for foundations designed with the recommended bearing pressure is estimated to be approximately 0.75 to 1.0 inch. Differential settlement between adjacent footings is expected to be less than 0.5 inch over a 50-foot span. These magnitudes are considered acceptable for a typical multi-story reinforced concrete or steel frame structure.</w:t>
      </w:r>
    </w:p>
    <w:p>
      <w:pPr>
        <w:pStyle w:val="Heading3"/>
      </w:pPr>
      <w:r>
        <w:rPr>
          <w:color w:val="2E75B6"/>
          <w:sz w:val="26"/>
        </w:rPr>
        <w:t>6.2 Slab-on-Grade Considerations</w:t>
      </w:r>
    </w:p>
    <w:p>
      <w:pPr>
        <w:pStyle w:val="ListBullet"/>
        <w:ind w:left="720"/>
      </w:pPr>
      <w:r>
        <w:rPr>
          <w:b/>
          <w:color w:val="1F4E78"/>
          <w:sz w:val="22"/>
        </w:rPr>
        <w:t>Subgrade Preparation:</w:t>
      </w:r>
      <w:r>
        <w:rPr>
          <w:color w:val="333333"/>
          <w:sz w:val="22"/>
        </w:rPr>
        <w:t xml:space="preserve"> All subgrade for slab-on-grade areas must be proof-rolled and compacted to a minimum of </w:t>
      </w:r>
      <w:r>
        <w:rPr>
          <w:b/>
          <w:color w:val="1F4E78"/>
          <w:sz w:val="22"/>
        </w:rPr>
        <w:t>95% of its maximum dry density (ASTM D1557)</w:t>
      </w:r>
      <w:r>
        <w:rPr>
          <w:color w:val="333333"/>
          <w:sz w:val="22"/>
        </w:rPr>
        <w:t xml:space="preserve"> within +2% to -2% of optimum moisture content. Any soft or pumping areas detected during proof-rolling shall be undercut and replaced with engineered fill.</w:t>
      </w:r>
    </w:p>
    <w:p>
      <w:pPr>
        <w:pStyle w:val="ListBullet"/>
        <w:ind w:left="720"/>
      </w:pPr>
      <w:r>
        <w:rPr>
          <w:b/>
          <w:color w:val="1F4E78"/>
          <w:sz w:val="22"/>
        </w:rPr>
        <w:t>Moisture Barrier:</w:t>
      </w:r>
      <w:r>
        <w:rPr>
          <w:color w:val="333333"/>
          <w:sz w:val="22"/>
        </w:rPr>
        <w:t xml:space="preserve"> A minimum </w:t>
      </w:r>
      <w:r>
        <w:rPr>
          <w:b/>
          <w:color w:val="1F4E78"/>
          <w:sz w:val="22"/>
        </w:rPr>
        <w:t>15-mil (Mil-Spec)</w:t>
      </w:r>
      <w:r>
        <w:rPr>
          <w:color w:val="333333"/>
          <w:sz w:val="22"/>
        </w:rPr>
        <w:t xml:space="preserve"> vapor barrier, specifically designed for under-slab applications, shall be installed directly beneath all interior concrete slabs-on-grade to mitigate moisture transmission, particularly critical for finished residential spaces.</w:t>
      </w:r>
    </w:p>
    <w:p>
      <w:pPr>
        <w:pStyle w:val="ListBullet"/>
        <w:ind w:left="720"/>
      </w:pPr>
      <w:r>
        <w:rPr>
          <w:b/>
          <w:color w:val="1F4E78"/>
          <w:sz w:val="22"/>
        </w:rPr>
        <w:t>Slab Thickness:</w:t>
      </w:r>
      <w:r>
        <w:rPr>
          <w:color w:val="333333"/>
          <w:sz w:val="22"/>
        </w:rPr>
        <w:t xml:space="preserve"> A minimum 6-inch thick concrete slab-on-grade is recommended, reinforced as per structural engineer specifications.</w:t>
      </w:r>
    </w:p>
    <w:p>
      <w:pPr>
        <w:pStyle w:val="Heading3"/>
      </w:pPr>
      <w:r>
        <w:rPr>
          <w:color w:val="2E75B6"/>
          <w:sz w:val="26"/>
        </w:rPr>
        <w:t>6.3 Site Preparation and Earthwork</w:t>
      </w:r>
    </w:p>
    <w:p>
      <w:pPr>
        <w:pStyle w:val="ListBullet"/>
        <w:ind w:left="720"/>
      </w:pPr>
      <w:r>
        <w:rPr>
          <w:b/>
          <w:color w:val="1F4E78"/>
          <w:sz w:val="22"/>
        </w:rPr>
        <w:t>Stripping:</w:t>
      </w:r>
      <w:r>
        <w:rPr>
          <w:color w:val="333333"/>
          <w:sz w:val="22"/>
        </w:rPr>
        <w:t xml:space="preserve"> Topsoil and surficial organic-rich fill (Layer 1) shall be stripped to a depth of approximately 2.5 to 3.0 feet or until suitable native bearing strata are exposed. Removed material is unsuitable for structural fill.</w:t>
      </w:r>
    </w:p>
    <w:p>
      <w:pPr>
        <w:pStyle w:val="ListBullet"/>
        <w:ind w:left="720"/>
      </w:pPr>
      <w:r>
        <w:rPr>
          <w:b/>
          <w:color w:val="1F4E78"/>
          <w:sz w:val="22"/>
        </w:rPr>
        <w:t>Excavation:</w:t>
      </w:r>
      <w:r>
        <w:rPr>
          <w:color w:val="333333"/>
          <w:sz w:val="22"/>
        </w:rPr>
        <w:t xml:space="preserve"> Excavations for foundations must extend to the recommended bearing strata. Over-excavation shall be backfilled with compacted engineered fill or lean concrete.</w:t>
      </w:r>
    </w:p>
    <w:p>
      <w:pPr>
        <w:pStyle w:val="ListBullet"/>
        <w:ind w:left="720"/>
      </w:pPr>
      <w:r>
        <w:rPr>
          <w:b/>
          <w:color w:val="1F4E78"/>
          <w:sz w:val="22"/>
        </w:rPr>
        <w:t>Engineered Fill:</w:t>
      </w:r>
      <w:r>
        <w:rPr>
          <w:color w:val="333333"/>
          <w:sz w:val="22"/>
        </w:rPr>
        <w:t xml:space="preserve"> All fill placed within the building footprint or beneath paved areas shall consist of structural fill conforming to ASTM D2487 GW, GP, SW, or SP classifications, placed in lifts not exceeding 12 inches loose thickness, and compacted to </w:t>
      </w:r>
      <w:r>
        <w:rPr>
          <w:b/>
          <w:color w:val="1F4E78"/>
          <w:sz w:val="22"/>
        </w:rPr>
        <w:t>95% of maximum dry density (ASTM D1557)</w:t>
      </w:r>
      <w:r>
        <w:rPr>
          <w:color w:val="333333"/>
          <w:sz w:val="22"/>
        </w:rPr>
        <w:t>.</w:t>
      </w:r>
    </w:p>
    <w:p>
      <w:pPr>
        <w:pStyle w:val="ListBullet"/>
        <w:ind w:left="720"/>
      </w:pPr>
      <w:r>
        <w:rPr>
          <w:b/>
          <w:color w:val="1F4E78"/>
          <w:sz w:val="22"/>
        </w:rPr>
        <w:t>Utility Trenches:</w:t>
      </w:r>
      <w:r>
        <w:rPr>
          <w:color w:val="333333"/>
          <w:sz w:val="22"/>
        </w:rPr>
        <w:t xml:space="preserve"> Backfill for utility trenches within the building footprint or beneath pavements shall be compacted to at least </w:t>
      </w:r>
      <w:r>
        <w:rPr>
          <w:b/>
          <w:color w:val="1F4E78"/>
          <w:sz w:val="22"/>
        </w:rPr>
        <w:t>95% of maximum dry density (ASTM D1557)</w:t>
      </w:r>
      <w:r>
        <w:rPr>
          <w:color w:val="333333"/>
          <w:sz w:val="22"/>
        </w:rPr>
        <w:t xml:space="preserve"> to prevent future settlement.</w:t>
      </w:r>
    </w:p>
    <w:p>
      <w:pPr>
        <w:pStyle w:val="Heading3"/>
      </w:pPr>
      <w:r>
        <w:rPr>
          <w:color w:val="2E75B6"/>
          <w:sz w:val="26"/>
        </w:rPr>
        <w:t>6.4 Seismic Design Considerations</w:t>
      </w:r>
    </w:p>
    <w:p>
      <w:r>
        <w:rPr>
          <w:color w:val="333333"/>
          <w:sz w:val="22"/>
        </w:rPr>
        <w:t xml:space="preserve">Based on the subsurface profile, the site is classified as </w:t>
      </w:r>
      <w:r>
        <w:rPr>
          <w:b/>
          <w:color w:val="1F4E78"/>
          <w:sz w:val="22"/>
        </w:rPr>
        <w:t>Site Class D</w:t>
      </w:r>
      <w:r>
        <w:rPr>
          <w:color w:val="333333"/>
          <w:sz w:val="22"/>
        </w:rPr>
        <w:t xml:space="preserve"> in accordance with ASCE 7-16 (Table 20.3-1) due to the presence of stiff clay and dense granular layers with an estimated average shear wave velocity (Vs30) between 600 and 1,200 feet per second.</w:t>
      </w:r>
    </w:p>
    <w:p>
      <w:pPr>
        <w:pStyle w:val="ListBullet"/>
        <w:ind w:left="720"/>
      </w:pPr>
      <w:r>
        <w:rPr>
          <w:b/>
          <w:color w:val="1F4E78"/>
          <w:sz w:val="22"/>
        </w:rPr>
        <w:t>Seismic Design Parameters:</w:t>
      </w:r>
    </w:p>
    <w:p>
      <w:pPr>
        <w:pStyle w:val="ListBullet"/>
        <w:ind w:left="1080"/>
      </w:pPr>
      <w:r>
        <w:rPr>
          <w:color w:val="333333"/>
          <w:sz w:val="22"/>
        </w:rPr>
        <w:t xml:space="preserve">Mapped Maximum Considered Earthquake (MCE) Spectral Response Acceleration at Short Periods (Ss): </w:t>
      </w:r>
      <w:r>
        <w:rPr>
          <w:b/>
          <w:color w:val="1F4E78"/>
          <w:sz w:val="22"/>
        </w:rPr>
        <w:t>0.25g</w:t>
      </w:r>
    </w:p>
    <w:p>
      <w:pPr>
        <w:pStyle w:val="ListBullet"/>
        <w:ind w:left="1080"/>
      </w:pPr>
      <w:r>
        <w:rPr>
          <w:color w:val="333333"/>
          <w:sz w:val="22"/>
        </w:rPr>
        <w:t xml:space="preserve">Mapped MCE Spectral Response Acceleration at 1-second Period (S1): </w:t>
      </w:r>
      <w:r>
        <w:rPr>
          <w:b/>
          <w:color w:val="1F4E78"/>
          <w:sz w:val="22"/>
        </w:rPr>
        <w:t>0.10g</w:t>
      </w:r>
    </w:p>
    <w:p>
      <w:pPr>
        <w:pStyle w:val="ListBullet"/>
        <w:ind w:left="1080"/>
      </w:pPr>
      <w:r>
        <w:rPr>
          <w:color w:val="333333"/>
          <w:sz w:val="22"/>
        </w:rPr>
        <w:t xml:space="preserve">Site Coefficient Fa: </w:t>
      </w:r>
      <w:r>
        <w:rPr>
          <w:b/>
          <w:color w:val="1F4E78"/>
          <w:sz w:val="22"/>
        </w:rPr>
        <w:t>1.2</w:t>
      </w:r>
    </w:p>
    <w:p>
      <w:pPr>
        <w:pStyle w:val="ListBullet"/>
        <w:ind w:left="1080"/>
      </w:pPr>
      <w:r>
        <w:rPr>
          <w:color w:val="333333"/>
          <w:sz w:val="22"/>
        </w:rPr>
        <w:t xml:space="preserve">Site Coefficient Fv: </w:t>
      </w:r>
      <w:r>
        <w:rPr>
          <w:b/>
          <w:color w:val="1F4E78"/>
          <w:sz w:val="22"/>
        </w:rPr>
        <w:t>1.7</w:t>
      </w:r>
    </w:p>
    <w:p>
      <w:pPr>
        <w:pStyle w:val="ListBullet"/>
        <w:ind w:left="1080"/>
      </w:pPr>
      <w:r>
        <w:rPr>
          <w:color w:val="333333"/>
          <w:sz w:val="22"/>
        </w:rPr>
        <w:t xml:space="preserve">Adjusted MCE Spectral Response Acceleration at Short Periods (SMS): </w:t>
      </w:r>
      <w:r>
        <w:rPr>
          <w:b/>
          <w:color w:val="1F4E78"/>
          <w:sz w:val="22"/>
        </w:rPr>
        <w:t>0.30g</w:t>
      </w:r>
    </w:p>
    <w:p>
      <w:pPr>
        <w:pStyle w:val="ListBullet"/>
        <w:ind w:left="1080"/>
      </w:pPr>
      <w:r>
        <w:rPr>
          <w:color w:val="333333"/>
          <w:sz w:val="22"/>
        </w:rPr>
        <w:t xml:space="preserve">Adjusted MCE Spectral Response Acceleration at 1-second Period (SM1): </w:t>
      </w:r>
      <w:r>
        <w:rPr>
          <w:b/>
          <w:color w:val="1F4E78"/>
          <w:sz w:val="22"/>
        </w:rPr>
        <w:t>0.17g</w:t>
      </w:r>
    </w:p>
    <w:p>
      <w:pPr>
        <w:pStyle w:val="ListBullet"/>
        <w:ind w:left="1080"/>
      </w:pPr>
      <w:r>
        <w:rPr>
          <w:color w:val="333333"/>
          <w:sz w:val="22"/>
        </w:rPr>
        <w:t xml:space="preserve">Design Spectral Response Acceleration at Short Periods (SDS): </w:t>
      </w:r>
      <w:r>
        <w:rPr>
          <w:b/>
          <w:color w:val="1F4E78"/>
          <w:sz w:val="22"/>
        </w:rPr>
        <w:t>0.20g</w:t>
      </w:r>
    </w:p>
    <w:p>
      <w:pPr>
        <w:pStyle w:val="ListBullet"/>
        <w:ind w:left="1080"/>
      </w:pPr>
      <w:r>
        <w:rPr>
          <w:color w:val="333333"/>
          <w:sz w:val="22"/>
        </w:rPr>
        <w:t xml:space="preserve">Design Spectral Response Acceleration at 1-second Period (SD1): </w:t>
      </w:r>
      <w:r>
        <w:rPr>
          <w:b/>
          <w:color w:val="1F4E78"/>
          <w:sz w:val="22"/>
        </w:rPr>
        <w:t>0.11g</w:t>
      </w:r>
    </w:p>
    <w:p>
      <w:pPr>
        <w:pStyle w:val="ListBullet"/>
        <w:ind w:left="720"/>
      </w:pPr>
      <w:r>
        <w:rPr>
          <w:b/>
          <w:color w:val="1F4E78"/>
          <w:sz w:val="22"/>
        </w:rPr>
        <w:t>Liquefaction Potential:</w:t>
      </w:r>
      <w:r>
        <w:rPr>
          <w:color w:val="333333"/>
          <w:sz w:val="22"/>
        </w:rPr>
        <w:t xml:space="preserve"> Given the N-values observed in the saturated granular layers (Layer 3: Silty Sand), which are consistently above 20 bpf, and the relatively low peak ground acceleration (PGA) for the region, the potential for liquefaction of the saturated granular soils is considered </w:t>
      </w:r>
      <w:r>
        <w:rPr>
          <w:b/>
          <w:color w:val="1F4E78"/>
          <w:sz w:val="22"/>
        </w:rPr>
        <w:t>low</w:t>
      </w:r>
      <w:r>
        <w:rPr>
          <w:color w:val="333333"/>
          <w:sz w:val="22"/>
        </w:rPr>
        <w:t xml:space="preserve"> to </w:t>
      </w:r>
      <w:r>
        <w:rPr>
          <w:b/>
          <w:color w:val="1F4E78"/>
          <w:sz w:val="22"/>
        </w:rPr>
        <w:t>negligible</w:t>
      </w:r>
      <w:r>
        <w:rPr>
          <w:color w:val="333333"/>
          <w:sz w:val="22"/>
        </w:rPr>
        <w:t xml:space="preserve"> for the design earthquake event.</w:t>
      </w:r>
    </w:p>
    <w:p>
      <w:pPr>
        <w:pStyle w:val="Heading3"/>
      </w:pPr>
      <w:r>
        <w:rPr>
          <w:color w:val="2E75B6"/>
          <w:sz w:val="26"/>
        </w:rPr>
        <w:t>6.5 Drainage and Moisture Control</w:t>
      </w:r>
    </w:p>
    <w:p>
      <w:r>
        <w:rPr>
          <w:color w:val="333333"/>
          <w:sz w:val="22"/>
        </w:rPr>
        <w:t>Proper site drainage is paramount to the long-term performance of the foundations and slab-on-grade. Finished grades around the building perimeter should slope away from the structure at a minimum gradient of 2% for at least 10 feet to prevent ponding and water infiltration. Subsurface foundation drains may be prudent in areas of elevated hydrostatic pressure or where groundwater levels are anticipated to be close to footing elevations, directing water to an appropriate stormwater management system.</w:t>
      </w:r>
    </w:p>
    <w:p>
      <w:pPr>
        <w:pStyle w:val="Heading3"/>
      </w:pPr>
      <w:r>
        <w:rPr>
          <w:color w:val="2E75B6"/>
          <w:sz w:val="26"/>
        </w:rPr>
        <w:t>6.6 Pavement Design Considerations (Parking Areas)</w:t>
      </w:r>
    </w:p>
    <w:p>
      <w:r>
        <w:rPr>
          <w:color w:val="333333"/>
          <w:sz w:val="22"/>
        </w:rPr>
        <w:t xml:space="preserve">For light-duty pavement sections (e.g., parking areas for automobiles), a minimum California Bearing Ratio (CBR) value of </w:t>
      </w:r>
      <w:r>
        <w:rPr>
          <w:b/>
          <w:color w:val="1F4E78"/>
          <w:sz w:val="22"/>
        </w:rPr>
        <w:t>8%</w:t>
      </w:r>
      <w:r>
        <w:rPr>
          <w:color w:val="333333"/>
          <w:sz w:val="22"/>
        </w:rPr>
        <w:t xml:space="preserve"> is estimated for the compacted subgrade. A typical flexible pavement section may comprise:</w:t>
      </w:r>
    </w:p>
    <w:p>
      <w:pPr>
        <w:pStyle w:val="ListBullet"/>
        <w:ind w:left="720"/>
      </w:pPr>
      <w:r>
        <w:rPr>
          <w:color w:val="333333"/>
          <w:sz w:val="22"/>
        </w:rPr>
        <w:t>2.0 inches of hot-mix asphalt (HMA)</w:t>
      </w:r>
    </w:p>
    <w:p>
      <w:pPr>
        <w:pStyle w:val="ListBullet"/>
        <w:ind w:left="720"/>
      </w:pPr>
      <w:r>
        <w:rPr>
          <w:color w:val="333333"/>
          <w:sz w:val="22"/>
        </w:rPr>
        <w:t>6.0 inches of compacted aggregate base course (AASHTO A-1-a or A-1-b)</w:t>
      </w:r>
    </w:p>
    <w:p>
      <w:pPr>
        <w:pStyle w:val="ListBullet"/>
        <w:ind w:left="720"/>
      </w:pPr>
      <w:r>
        <w:rPr>
          <w:color w:val="333333"/>
          <w:sz w:val="22"/>
        </w:rPr>
        <w:t>Compacted subgrade to 95% of max dry density.</w:t>
      </w:r>
    </w:p>
    <w:p>
      <w:r>
        <w:rPr>
          <w:color w:val="333333"/>
          <w:sz w:val="22"/>
        </w:rPr>
        <w:t>Final pavement designs shall be prepared by a qualified pavement engineer.</w:t>
      </w:r>
    </w:p>
    <w:p>
      <w:pPr>
        <w:pStyle w:val="Heading2"/>
      </w:pPr>
      <w:r>
        <w:rPr>
          <w:color w:val="2E75B6"/>
          <w:sz w:val="30"/>
        </w:rPr>
        <w:t>7.0 Construction Considerations</w:t>
      </w:r>
    </w:p>
    <w:p>
      <w:pPr>
        <w:pStyle w:val="ListBullet"/>
        <w:ind w:left="720"/>
      </w:pPr>
      <w:r>
        <w:rPr>
          <w:b/>
          <w:color w:val="1F4E78"/>
          <w:sz w:val="22"/>
        </w:rPr>
        <w:t>Geotechnical Observation:</w:t>
      </w:r>
      <w:r>
        <w:rPr>
          <w:color w:val="333333"/>
          <w:sz w:val="22"/>
        </w:rPr>
        <w:t xml:space="preserve"> It is a critical requirement that all earthwork activities, including stripping, excavation to design bearing strata, placement and compaction of engineered fill, and foundation installation, be continuously monitored by a qualified geotechnical engineer or their representative. This ensures adherence to the recommendations set forth herein and allows for immediate identification and mitigation of unforeseen subsurface conditions.</w:t>
      </w:r>
    </w:p>
    <w:p>
      <w:pPr>
        <w:pStyle w:val="ListBullet"/>
        <w:ind w:left="720"/>
      </w:pPr>
      <w:r>
        <w:rPr>
          <w:b/>
          <w:color w:val="1F4E78"/>
          <w:sz w:val="22"/>
        </w:rPr>
        <w:t>Temporary Excavations:</w:t>
      </w:r>
      <w:r>
        <w:rPr>
          <w:color w:val="333333"/>
          <w:sz w:val="22"/>
        </w:rPr>
        <w:t xml:space="preserve"> All temporary excavations must comply with OSHA regulations (29 CFR Part 1926, Subpart P). Given the cohesive nature of the upper soils, temporary slopes up to 1H:1V (horizontal to vertical) may be stable for limited durations above the groundwater table. Flatter slopes or temporary shoring systems will be required for deeper excavations or where space constraints exist.</w:t>
      </w:r>
    </w:p>
    <w:p>
      <w:pPr>
        <w:pStyle w:val="ListBullet"/>
        <w:ind w:left="720"/>
      </w:pPr>
      <w:r>
        <w:rPr>
          <w:b/>
          <w:color w:val="1F4E78"/>
          <w:sz w:val="22"/>
        </w:rPr>
        <w:t>Adverse Weather:</w:t>
      </w:r>
      <w:r>
        <w:rPr>
          <w:color w:val="333333"/>
          <w:sz w:val="22"/>
        </w:rPr>
        <w:t xml:space="preserve"> Earthwork should not proceed during periods of inclement weather (e.g., heavy rain, freezing conditions) unless specific protective measures are implemented and approved by the geotechnical engineer.</w:t>
      </w:r>
    </w:p>
    <w:p>
      <w:pPr>
        <w:pStyle w:val="Heading2"/>
      </w:pPr>
      <w:r>
        <w:rPr>
          <w:color w:val="2E75B6"/>
          <w:sz w:val="30"/>
        </w:rPr>
        <w:t>8.0 Limitations</w:t>
      </w:r>
    </w:p>
    <w:p>
      <w:r>
        <w:rPr>
          <w:color w:val="333333"/>
          <w:sz w:val="22"/>
        </w:rPr>
        <w:t>This report has been prepared for the exclusive use of Evergreen Development Group LLC and its design team for the specific purpose of assessing the geotechnical conditions for the So-Good Apartments project. The analyses and recommendations provided are predicated on the data obtained from the aforementioned test borings, which represent discrete points on the site. Subsurface conditions between boring locations may vary. Apex Geo-Consultants, LLC disclaims any responsibility for interpretations made by others or for the application of this report to any other project or site.</w:t>
      </w:r>
    </w:p>
    <w:p>
      <w:r>
        <w:rPr>
          <w:color w:val="333333"/>
          <w:sz w:val="22"/>
        </w:rPr>
        <w:t>No warranty, express or implied, is made as to the conclusions and professional advice included in this report. In the event of substantial changes to the project scope, structural loads, or site layout, or if subsurface conditions materially different from those described herein are encountered during construction, Apex Geo-Consultants, LLC must be immediately notified to review and, if necessary, revise these recommendations. This report does not include environmental assessments, which should be performed separately.</w:t>
      </w:r>
    </w:p>
    <w:p>
      <w:pPr>
        <w:pStyle w:val="Heading2"/>
      </w:pPr>
      <w:r>
        <w:rPr>
          <w:color w:val="2E75B6"/>
          <w:sz w:val="30"/>
        </w:rPr>
        <w:t>9.0 Conclusion and Certification</w:t>
      </w:r>
    </w:p>
    <w:p>
      <w:r>
        <w:rPr>
          <w:color w:val="333333"/>
          <w:sz w:val="22"/>
        </w:rPr>
        <w:t>Based on the subsurface exploration and laboratory testing conducted, the site for the So-Good Apartments in Springfield is geotechnically suitable for the proposed multi-family development utilizing shallow spread footing foundations, subject to strict adherence to the recommendations detailed in this report. The implementation of robust earthwork and quality control measures will be instrumental in achieving the desired foundation performance and structural integrity. Due diligence in integrating these geotechnical parameters into the final design and construction execution will directly contribute to the successful underwriting and long-term asset value of the So-Good Apartments project.</w:t>
      </w:r>
    </w:p>
    <w:p>
      <w:r>
        <w:rPr>
          <w:color w:val="333333"/>
          <w:sz w:val="22"/>
        </w:rPr>
        <w:t>Certified by:</w:t>
      </w:r>
    </w:p>
    <w:p>
      <w:r>
        <w:rPr>
          <w:b/>
          <w:color w:val="1F4E78"/>
          <w:sz w:val="22"/>
        </w:rPr>
        <w:t>Dr. Evelyn Hayes, P.E.</w:t>
      </w:r>
      <w:r>
        <w:rPr>
          <w:color w:val="333333"/>
          <w:sz w:val="22"/>
        </w:rPr>
        <w:t xml:space="preserve"> Senior Geotechnical Engineer Apex Geo-Consultants, LLC License No. G-12345 Date: October 26, 2023</w:t>
      </w:r>
    </w:p>
    <w:p>
      <w:r>
        <w:rPr>
          <w:i/>
          <w:color w:val="333333"/>
          <w:sz w:val="22"/>
        </w:rPr>
        <w:t>(Seal of Apex Geo-Consultants, LLC affixed hereto)</w:t>
      </w:r>
    </w:p>
    <w:p>
      <w:pPr>
        <w:jc w:val="center"/>
      </w:pPr>
      <w:r>
        <w:drawing>
          <wp:inline xmlns:a="http://schemas.openxmlformats.org/drawingml/2006/main" xmlns:pic="http://schemas.openxmlformats.org/drawingml/2006/picture">
            <wp:extent cx="4572000" cy="2114332"/>
            <wp:docPr id="1" name="Picture 1"/>
            <wp:cNvGraphicFramePr>
              <a:graphicFrameLocks noChangeAspect="1"/>
            </wp:cNvGraphicFramePr>
            <a:graphic>
              <a:graphicData uri="http://schemas.openxmlformats.org/drawingml/2006/picture">
                <pic:pic>
                  <pic:nvPicPr>
                    <pic:cNvPr id="0" name="Aerial View.jpeg"/>
                    <pic:cNvPicPr/>
                  </pic:nvPicPr>
                  <pic:blipFill>
                    <a:blip r:embed="rId9"/>
                    <a:stretch>
                      <a:fillRect/>
                    </a:stretch>
                  </pic:blipFill>
                  <pic:spPr>
                    <a:xfrm>
                      <a:off x="0" y="0"/>
                      <a:ext cx="4572000" cy="2114332"/>
                    </a:xfrm>
                    <a:prstGeom prst="rect"/>
                  </pic:spPr>
                </pic:pic>
              </a:graphicData>
            </a:graphic>
          </wp:inline>
        </w:drawing>
      </w:r>
    </w:p>
    <w:p>
      <w:pPr>
        <w:jc w:val="center"/>
      </w:pPr>
      <w:r>
        <w:rPr>
          <w:i/>
          <w:color w:val="707070"/>
          <w:sz w:val="18"/>
        </w:rPr>
        <w:t>Exhibit: Aerial View Showing Borehole Locations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4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