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INCENTIVE AGREEMENT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1"/>
      </w:pPr>
      <w:r>
        <w:rPr>
          <w:color w:val="1F4E78"/>
          <w:sz w:val="36"/>
        </w:rPr>
        <w:t>INCENTIVE AGREEMENT</w:t>
      </w:r>
    </w:p>
    <w:p>
      <w:r>
        <w:rPr>
          <w:color w:val="333333"/>
          <w:sz w:val="22"/>
        </w:rPr>
        <w:t xml:space="preserve">This INCENTIVE AGREEMENT (this "Agreement") is made and entered into as of this 1st day of December, 2023 (the "Effective Date"), by and between </w:t>
      </w:r>
      <w:r>
        <w:rPr>
          <w:b/>
          <w:color w:val="1F4E78"/>
          <w:sz w:val="22"/>
        </w:rPr>
        <w:t>THE CITY OF SPRINGFIELD, ILLINOIS</w:t>
      </w:r>
      <w:r>
        <w:rPr>
          <w:color w:val="333333"/>
          <w:sz w:val="22"/>
        </w:rPr>
        <w:t xml:space="preserve">, a municipal corporation organized and existing under the laws of the State of Illinois (the "City"), and </w:t>
      </w:r>
      <w:r>
        <w:rPr>
          <w:b/>
          <w:color w:val="1F4E78"/>
          <w:sz w:val="22"/>
        </w:rPr>
        <w:t>SO-GOOD DEVELOPMENTS, LLC</w:t>
      </w:r>
      <w:r>
        <w:rPr>
          <w:color w:val="333333"/>
          <w:sz w:val="22"/>
        </w:rPr>
        <w:t>, a Delaware limited liability company, having its principal place of business at 123 Main Street, Anytown, DE 19702 (the "Developer"). The City and the Developer are hereinafter collectively referred to as the "Parties" and individually as a "Party."</w:t>
      </w:r>
    </w:p>
    <w:p>
      <w:pPr>
        <w:pStyle w:val="Heading2"/>
      </w:pPr>
      <w:r>
        <w:rPr>
          <w:color w:val="2E75B6"/>
          <w:sz w:val="30"/>
        </w:rPr>
        <w:t>RECITALS</w:t>
      </w:r>
    </w:p>
    <w:p>
      <w:r>
        <w:rPr>
          <w:color w:val="333333"/>
          <w:sz w:val="22"/>
        </w:rPr>
        <w:t xml:space="preserve">WHEREAS, the Developer proposes to develop a multi-family residential project known as "So-Good Apartments" (the "Project") on certain real property located within the corporate limits of the City of Springfield, Illinois, legally described in </w:t>
      </w:r>
      <w:r>
        <w:rPr>
          <w:b/>
          <w:color w:val="1F4E78"/>
          <w:sz w:val="22"/>
        </w:rPr>
        <w:t>Exhibit A</w:t>
      </w:r>
      <w:r>
        <w:rPr>
          <w:color w:val="333333"/>
          <w:sz w:val="22"/>
        </w:rPr>
        <w:t xml:space="preserve"> attached hereto and incorporated herein by reference (the "Property");</w:t>
      </w:r>
    </w:p>
    <w:p>
      <w:r>
        <w:rPr>
          <w:color w:val="333333"/>
          <w:sz w:val="22"/>
        </w:rPr>
        <w:t>WHEREAS, the Project entails the construction of approximately two hundred fifty (250) Class A multi-family residential units, together with associated amenities, parking, and public realm improvements, representing a total estimated capital investment by the Developer of not less than Sixty-Five Million Dollars ($65,000,000.00);</w:t>
      </w:r>
    </w:p>
    <w:p>
      <w:r>
        <w:rPr>
          <w:color w:val="333333"/>
          <w:sz w:val="22"/>
        </w:rPr>
        <w:t>WHEREAS, the City recognizes that the Project, if developed as proposed, will further the City's economic development objectives by creating substantial construction and permanent employment opportunities, increasing the City's real property tax base, revitalizing an underutilized parcel of land, and providing needed housing stock, including a component of affordable housing;</w:t>
      </w:r>
    </w:p>
    <w:p>
      <w:r>
        <w:rPr>
          <w:color w:val="333333"/>
          <w:sz w:val="22"/>
        </w:rPr>
        <w:t>WHEREAS, the Developer has represented to the City that, due to prevailing market conditions, elevated construction costs, and the specific challenges associated with the Property, the Project as contemplated would not be financially feasible without certain financial and non-financial incentives from the City;</w:t>
      </w:r>
    </w:p>
    <w:p>
      <w:r>
        <w:rPr>
          <w:color w:val="333333"/>
          <w:sz w:val="22"/>
        </w:rPr>
        <w:t>WHEREAS, the City has reviewed the Developer's pro forma financial projections and development plans and has determined that the provision of specific incentives is necessary and appropriate to induce the Developer to undertake the Project and that such incentives serve a significant public purpose by fostering economic growth, expanding the tax base, and promoting the general welfare of the City and its residents;</w:t>
      </w:r>
    </w:p>
    <w:p>
      <w:r>
        <w:rPr>
          <w:color w:val="333333"/>
          <w:sz w:val="22"/>
        </w:rPr>
        <w:t>WHEREAS, the City is authorized under applicable Illinois statutes, including without limitation the Illinois Tax Increment Allocation Redevelopment Act, 65 ILCS 5/11-74.4-1 et seq. (if applicable), and its general home rule powers, to provide the incentives contemplated herein;</w:t>
      </w:r>
    </w:p>
    <w:p>
      <w:r>
        <w:rPr>
          <w:color w:val="333333"/>
          <w:sz w:val="22"/>
        </w:rPr>
        <w:t>NOW, THEREFORE, in consideration of the premises and the mutual covenants and agreements hereinafter set forth, and for other good and valuable consideration, the receipt and sufficiency of which are hereby acknowledged, the Parties hereby covenant and agree as follows:</w:t>
      </w:r>
    </w:p>
    <w:p>
      <w:pPr>
        <w:pStyle w:val="Heading2"/>
      </w:pPr>
      <w:r>
        <w:rPr>
          <w:color w:val="2E75B6"/>
          <w:sz w:val="30"/>
        </w:rPr>
        <w:t>ARTICLE I: DEFINITIONS</w:t>
      </w:r>
    </w:p>
    <w:p>
      <w:r>
        <w:rPr>
          <w:color w:val="333333"/>
          <w:sz w:val="22"/>
        </w:rPr>
        <w:t>For the purposes of this Agreement, the following terms shall have the meanings ascribed to them below:</w:t>
      </w:r>
    </w:p>
    <w:p>
      <w:pPr>
        <w:pStyle w:val="ListBullet"/>
        <w:ind w:left="720"/>
      </w:pPr>
      <w:r>
        <w:rPr>
          <w:b/>
          <w:color w:val="1F4E78"/>
          <w:sz w:val="22"/>
        </w:rPr>
        <w:t>"Affordable Unit(s)"</w:t>
      </w:r>
      <w:r>
        <w:rPr>
          <w:color w:val="333333"/>
          <w:sz w:val="22"/>
        </w:rPr>
        <w:t xml:space="preserve"> means a residential unit within the Project designated and restricted for occupancy by households earning no more than eighty percent (80%) of the Area Median Income (AMI) for Springfield, Illinois, as published annually by the U.S. Department of Housing and Urban Development (HUD), with rent restrictions in accordance with federal or state guidelines for affordable housing.</w:t>
      </w:r>
    </w:p>
    <w:p>
      <w:pPr>
        <w:pStyle w:val="ListBullet"/>
        <w:ind w:left="720"/>
      </w:pPr>
      <w:r>
        <w:rPr>
          <w:b/>
          <w:color w:val="1F4E78"/>
          <w:sz w:val="22"/>
        </w:rPr>
        <w:t>"Certificate of Occupancy"</w:t>
      </w:r>
      <w:r>
        <w:rPr>
          <w:color w:val="333333"/>
          <w:sz w:val="22"/>
        </w:rPr>
        <w:t xml:space="preserve"> means the final certificate of occupancy issued by the City for the Project, indicating that all construction is complete and the Project is ready for residential occupancy.</w:t>
      </w:r>
    </w:p>
    <w:p>
      <w:pPr>
        <w:pStyle w:val="ListBullet"/>
        <w:ind w:left="720"/>
      </w:pPr>
      <w:r>
        <w:rPr>
          <w:b/>
          <w:color w:val="1F4E78"/>
          <w:sz w:val="22"/>
        </w:rPr>
        <w:t>"Commencement Date"</w:t>
      </w:r>
      <w:r>
        <w:rPr>
          <w:color w:val="333333"/>
          <w:sz w:val="22"/>
        </w:rPr>
        <w:t xml:space="preserve"> means the date upon which the Developer begins substantial vertical construction of the Project, excluding site preparation or demolition work.</w:t>
      </w:r>
    </w:p>
    <w:p>
      <w:pPr>
        <w:pStyle w:val="ListBullet"/>
        <w:ind w:left="720"/>
      </w:pPr>
      <w:r>
        <w:rPr>
          <w:b/>
          <w:color w:val="1F4E78"/>
          <w:sz w:val="22"/>
        </w:rPr>
        <w:t>"Completion Date"</w:t>
      </w:r>
      <w:r>
        <w:rPr>
          <w:color w:val="333333"/>
          <w:sz w:val="22"/>
        </w:rPr>
        <w:t xml:space="preserve"> means the date of issuance of the Certificate of Occupancy for the entire Project.</w:t>
      </w:r>
    </w:p>
    <w:p>
      <w:pPr>
        <w:pStyle w:val="ListBullet"/>
        <w:ind w:left="720"/>
      </w:pPr>
      <w:r>
        <w:rPr>
          <w:b/>
          <w:color w:val="1F4E78"/>
          <w:sz w:val="22"/>
        </w:rPr>
        <w:t>"Incentive Period"</w:t>
      </w:r>
      <w:r>
        <w:rPr>
          <w:color w:val="333333"/>
          <w:sz w:val="22"/>
        </w:rPr>
        <w:t xml:space="preserve"> means the duration during which the tax abatement granted hereunder is effective, as specified in Section 2.1.</w:t>
      </w:r>
    </w:p>
    <w:p>
      <w:pPr>
        <w:pStyle w:val="ListBullet"/>
        <w:ind w:left="720"/>
      </w:pPr>
      <w:r>
        <w:rPr>
          <w:b/>
          <w:color w:val="1F4E78"/>
          <w:sz w:val="22"/>
        </w:rPr>
        <w:t>"Project Costs"</w:t>
      </w:r>
      <w:r>
        <w:rPr>
          <w:color w:val="333333"/>
          <w:sz w:val="22"/>
        </w:rPr>
        <w:t xml:space="preserve"> means all hard and soft costs incurred by the Developer for the acquisition, design, construction, and financing of the Project, as evidenced by audited financial statements or other documentation acceptable to the City.</w:t>
      </w:r>
    </w:p>
    <w:p>
      <w:pPr>
        <w:pStyle w:val="ListBullet"/>
        <w:ind w:left="720"/>
      </w:pPr>
      <w:r>
        <w:rPr>
          <w:b/>
          <w:color w:val="1F4E78"/>
          <w:sz w:val="22"/>
        </w:rPr>
        <w:t>"Qualified Jobs"</w:t>
      </w:r>
      <w:r>
        <w:rPr>
          <w:color w:val="333333"/>
          <w:sz w:val="22"/>
        </w:rPr>
        <w:t xml:space="preserve"> means direct, full-time equivalent (FTE) permanent employment positions created and maintained within the City by the Project, or construction jobs generated during the Project's development phase.</w:t>
      </w:r>
    </w:p>
    <w:p>
      <w:pPr>
        <w:pStyle w:val="Heading2"/>
      </w:pPr>
      <w:r>
        <w:rPr>
          <w:color w:val="2E75B6"/>
          <w:sz w:val="30"/>
        </w:rPr>
        <w:t>ARTICLE II: GRANT OF INCENTIVES</w:t>
      </w:r>
    </w:p>
    <w:p>
      <w:r>
        <w:rPr>
          <w:color w:val="333333"/>
          <w:sz w:val="22"/>
        </w:rPr>
        <w:t>Subject to the terms and conditions of this Agreement, the City hereby grants the following incentives to the Developer:</w:t>
      </w:r>
    </w:p>
    <w:p>
      <w:pPr>
        <w:pStyle w:val="Heading3"/>
      </w:pPr>
      <w:r>
        <w:rPr>
          <w:color w:val="2E75B6"/>
          <w:sz w:val="26"/>
        </w:rPr>
        <w:t>2.1 Real Property Tax Abatement</w:t>
      </w:r>
    </w:p>
    <w:p>
      <w:r>
        <w:rPr>
          <w:color w:val="333333"/>
          <w:sz w:val="22"/>
        </w:rPr>
        <w:t>The City, through the appropriate county and local taxing bodies, shall provide a real property tax abatement on the increase in the assessed value of the improvements comprising the Project above the baseline assessed value of the Property as of the Effective Date, as follows:</w:t>
      </w:r>
    </w:p>
    <w:p>
      <w:pPr>
        <w:pStyle w:val="ListBullet"/>
        <w:ind w:left="720"/>
      </w:pPr>
      <w:r>
        <w:rPr>
          <w:b/>
          <w:color w:val="1F4E78"/>
          <w:sz w:val="22"/>
        </w:rPr>
        <w:t>Abatement Percentage:</w:t>
      </w:r>
      <w:r>
        <w:rPr>
          <w:color w:val="333333"/>
          <w:sz w:val="22"/>
        </w:rPr>
        <w:t xml:space="preserve"> Seventy-Five Percent (75%) of the incremental increase in real property taxes attributable to the Project improvements.</w:t>
      </w:r>
    </w:p>
    <w:p>
      <w:pPr>
        <w:pStyle w:val="ListBullet"/>
        <w:ind w:left="720"/>
      </w:pPr>
      <w:r>
        <w:rPr>
          <w:b/>
          <w:color w:val="1F4E78"/>
          <w:sz w:val="22"/>
        </w:rPr>
        <w:t>Abatement Term:</w:t>
      </w:r>
      <w:r>
        <w:rPr>
          <w:color w:val="333333"/>
          <w:sz w:val="22"/>
        </w:rPr>
        <w:t xml:space="preserve"> Ten (10) consecutive fiscal years, commencing in the first full tax year following the issuance of the Certificate of Occupancy for the Project.</w:t>
      </w:r>
    </w:p>
    <w:p>
      <w:pPr>
        <w:pStyle w:val="ListBullet"/>
        <w:ind w:left="720"/>
      </w:pPr>
      <w:r>
        <w:rPr>
          <w:b/>
          <w:color w:val="1F4E78"/>
          <w:sz w:val="22"/>
        </w:rPr>
        <w:t>Baseline Assessment:</w:t>
      </w:r>
      <w:r>
        <w:rPr>
          <w:color w:val="333333"/>
          <w:sz w:val="22"/>
        </w:rPr>
        <w:t xml:space="preserve"> The baseline assessed value of the Property for abatement calculation purposes shall be Two Million Five Hundred Thousand Dollars ($2,500,000.00) (the "Baseline Assessment"). The abatement shall apply only to the assessed value increment above this Baseline Assessment.</w:t>
      </w:r>
    </w:p>
    <w:p>
      <w:pPr>
        <w:pStyle w:val="ListBullet"/>
        <w:ind w:left="720"/>
      </w:pPr>
      <w:r>
        <w:rPr>
          <w:b/>
          <w:color w:val="1F4E78"/>
          <w:sz w:val="22"/>
        </w:rPr>
        <w:t>Administration:</w:t>
      </w:r>
      <w:r>
        <w:rPr>
          <w:color w:val="333333"/>
          <w:sz w:val="22"/>
        </w:rPr>
        <w:t xml:space="preserve"> The City shall cooperate fully with the Developer to apply for and administer this tax abatement in accordance with the Illinois Property Tax Code (35 ILCS 200/1 et seq.) and any other applicable statutes and local ordinances.</w:t>
      </w:r>
    </w:p>
    <w:p>
      <w:pPr>
        <w:pStyle w:val="Heading3"/>
      </w:pPr>
      <w:r>
        <w:rPr>
          <w:color w:val="2E75B6"/>
          <w:sz w:val="26"/>
        </w:rPr>
        <w:t>2.2 Development Fee Waivers</w:t>
      </w:r>
    </w:p>
    <w:p>
      <w:r>
        <w:rPr>
          <w:color w:val="333333"/>
          <w:sz w:val="22"/>
        </w:rPr>
        <w:t>The City shall waive, rebate, or reimburse the Developer for certain development-related fees, up to a maximum aggregate amount of Seven Hundred Fifty Thousand Dollars ($750,000.00). These fees include, but are not limited to, building permit fees, plan review fees, impact fees (if any), and certain connection fees for municipal services directly attributable to the Project construction. The specific fees eligible for waiver shall be identified in a schedule mutually agreed upon by the Parties within sixty (60) days of the Effective Date.</w:t>
      </w:r>
    </w:p>
    <w:p>
      <w:pPr>
        <w:pStyle w:val="Heading3"/>
      </w:pPr>
      <w:r>
        <w:rPr>
          <w:color w:val="2E75B6"/>
          <w:sz w:val="26"/>
        </w:rPr>
        <w:t>2.3 Infrastructure Reimbursement</w:t>
      </w:r>
    </w:p>
    <w:p>
      <w:r>
        <w:rPr>
          <w:color w:val="333333"/>
          <w:sz w:val="22"/>
        </w:rPr>
        <w:t>The City shall reimburse the Developer for documented and approved costs incurred by the Developer for public infrastructure improvements directly required and constructed in connection with the Project, up to a maximum aggregate amount of One Million Five Hundred Thousand Dollars ($1,500,000.00). Such eligible infrastructure improvements may include, but are not limited to, specific street upgrades (e.g., dedicated turn lanes, resurfacing adjacent thoroughfares), new or upgraded water and sewer lines extending to the Property line, and storm drainage improvements that primarily benefit the public. Reimbursement shall occur within ninety (90) days of the City's acceptance of the completed infrastructure work and verification of the Developer's eligible expenditures.</w:t>
      </w:r>
    </w:p>
    <w:p>
      <w:pPr>
        <w:pStyle w:val="Heading3"/>
      </w:pPr>
      <w:r>
        <w:rPr>
          <w:color w:val="2E75B6"/>
          <w:sz w:val="26"/>
        </w:rPr>
        <w:t>2.4 Expedited Permitting</w:t>
      </w:r>
    </w:p>
    <w:p>
      <w:r>
        <w:rPr>
          <w:color w:val="333333"/>
          <w:sz w:val="22"/>
        </w:rPr>
        <w:t>The City commits to providing expedited review and processing of all necessary Project-related applications for zoning, planning, and building permits, conditional upon the Developer submitting complete and accurate documentation in a timely manner. This shall not constitute a waiver of any regulatory requirements but an acceleration of the review process.</w:t>
      </w:r>
    </w:p>
    <w:p>
      <w:pPr>
        <w:pStyle w:val="Heading2"/>
      </w:pPr>
      <w:r>
        <w:rPr>
          <w:color w:val="2E75B6"/>
          <w:sz w:val="30"/>
        </w:rPr>
        <w:t>ARTICLE III: DEVELOPER COVENANTS AND OBLIGATIONS</w:t>
      </w:r>
    </w:p>
    <w:p>
      <w:r>
        <w:rPr>
          <w:color w:val="333333"/>
          <w:sz w:val="22"/>
        </w:rPr>
        <w:t>In consideration for the incentives granted by the City, the Developer hereby covenants and agrees to the following:</w:t>
      </w:r>
    </w:p>
    <w:p>
      <w:pPr>
        <w:pStyle w:val="Heading3"/>
      </w:pPr>
      <w:r>
        <w:rPr>
          <w:color w:val="2E75B6"/>
          <w:sz w:val="26"/>
        </w:rPr>
        <w:t>3.1 Project Construction and Investment</w:t>
      </w:r>
    </w:p>
    <w:p>
      <w:r>
        <w:rPr>
          <w:color w:val="333333"/>
          <w:sz w:val="22"/>
        </w:rPr>
        <w:t>The Developer shall:</w:t>
      </w:r>
    </w:p>
    <w:p>
      <w:pPr>
        <w:pStyle w:val="ListBullet"/>
        <w:ind w:left="720"/>
      </w:pPr>
      <w:r>
        <w:rPr>
          <w:b/>
          <w:color w:val="1F4E78"/>
          <w:sz w:val="22"/>
        </w:rPr>
        <w:t>Commencement:</w:t>
      </w:r>
      <w:r>
        <w:rPr>
          <w:color w:val="333333"/>
          <w:sz w:val="22"/>
        </w:rPr>
        <w:t xml:space="preserve"> Commence substantial vertical construction of the Project by no later than March 31, 2024.</w:t>
      </w:r>
    </w:p>
    <w:p>
      <w:pPr>
        <w:pStyle w:val="ListBullet"/>
        <w:ind w:left="720"/>
      </w:pPr>
      <w:r>
        <w:rPr>
          <w:b/>
          <w:color w:val="1F4E78"/>
          <w:sz w:val="22"/>
        </w:rPr>
        <w:t>Completion:</w:t>
      </w:r>
      <w:r>
        <w:rPr>
          <w:color w:val="333333"/>
          <w:sz w:val="22"/>
        </w:rPr>
        <w:t xml:space="preserve"> Achieve Substantial Completion of the Project, as evidenced by the issuance of the Certificate of Occupancy for all 250 units, by no later than December 31, 2026.</w:t>
      </w:r>
    </w:p>
    <w:p>
      <w:pPr>
        <w:pStyle w:val="ListBullet"/>
        <w:ind w:left="720"/>
      </w:pPr>
      <w:r>
        <w:rPr>
          <w:b/>
          <w:color w:val="1F4E78"/>
          <w:sz w:val="22"/>
        </w:rPr>
        <w:t>Minimum Investment:</w:t>
      </w:r>
      <w:r>
        <w:rPr>
          <w:color w:val="333333"/>
          <w:sz w:val="22"/>
        </w:rPr>
        <w:t xml:space="preserve"> Invest not less than Sixty-Five Million Dollars ($65,000,000.00) in Project Costs, exclusive of land acquisition costs, for the development and construction of the Project. The Developer shall provide evidence of such investment upon the City's reasonable request.</w:t>
      </w:r>
    </w:p>
    <w:p>
      <w:pPr>
        <w:pStyle w:val="ListBullet"/>
        <w:ind w:left="720"/>
      </w:pPr>
      <w:r>
        <w:rPr>
          <w:b/>
          <w:color w:val="1F4E78"/>
          <w:sz w:val="22"/>
        </w:rPr>
        <w:t>Project Scope:</w:t>
      </w:r>
      <w:r>
        <w:rPr>
          <w:color w:val="333333"/>
          <w:sz w:val="22"/>
        </w:rPr>
        <w:t xml:space="preserve"> Construct a multi-family residential development consisting of approximately 250 dwelling units, consistent with the plans and specifications approved by the City.</w:t>
      </w:r>
    </w:p>
    <w:p>
      <w:pPr>
        <w:pStyle w:val="Heading3"/>
      </w:pPr>
      <w:r>
        <w:rPr>
          <w:color w:val="2E75B6"/>
          <w:sz w:val="26"/>
        </w:rPr>
        <w:t>3.2 Affordable Housing Component</w:t>
      </w:r>
    </w:p>
    <w:p>
      <w:r>
        <w:rPr>
          <w:color w:val="333333"/>
          <w:sz w:val="22"/>
        </w:rPr>
        <w:t>The Developer shall dedicate and maintain fifty (50) units, representing twenty percent (20%) of the total dwelling units within the Project, as Affordable Units for a continuous period of fifteen (15) years commencing from the Completion Date. The Developer shall:</w:t>
      </w:r>
    </w:p>
    <w:p>
      <w:pPr>
        <w:pStyle w:val="ListBullet"/>
        <w:ind w:left="720"/>
      </w:pPr>
      <w:r>
        <w:rPr>
          <w:b/>
          <w:color w:val="1F4E78"/>
          <w:sz w:val="22"/>
        </w:rPr>
        <w:t>Affordability Restrictions:</w:t>
      </w:r>
      <w:r>
        <w:rPr>
          <w:color w:val="333333"/>
          <w:sz w:val="22"/>
        </w:rPr>
        <w:t xml:space="preserve"> Ensure that rents for Affordable Units, including utilities, do not exceed 30% of 80% AMI, adjusted for family size, as determined by HUD for Springfield, Illinois.</w:t>
      </w:r>
    </w:p>
    <w:p>
      <w:pPr>
        <w:pStyle w:val="ListBullet"/>
        <w:ind w:left="720"/>
      </w:pPr>
      <w:r>
        <w:rPr>
          <w:b/>
          <w:color w:val="1F4E78"/>
          <w:sz w:val="22"/>
        </w:rPr>
        <w:t>Monitoring and Reporting:</w:t>
      </w:r>
      <w:r>
        <w:rPr>
          <w:color w:val="333333"/>
          <w:sz w:val="22"/>
        </w:rPr>
        <w:t xml:space="preserve"> Annually, on or before March 1st, for the duration of the fifteen (15) year affordability period, provide the City with an occupancy report for the prior calendar year demonstrating compliance with the Affordable Unit requirements, including tenant income certifications and rent rolls, subject to applicable privacy laws.</w:t>
      </w:r>
    </w:p>
    <w:p>
      <w:pPr>
        <w:pStyle w:val="ListBullet"/>
        <w:ind w:left="720"/>
      </w:pPr>
      <w:r>
        <w:rPr>
          <w:b/>
          <w:color w:val="1F4E78"/>
          <w:sz w:val="22"/>
        </w:rPr>
        <w:t>Long-Term Restriction:</w:t>
      </w:r>
      <w:r>
        <w:rPr>
          <w:color w:val="333333"/>
          <w:sz w:val="22"/>
        </w:rPr>
        <w:t xml:space="preserve"> Record a restrictive covenant or similar instrument against the Property, satisfactory to the City, to ensure the long-term affordability of the Affordable Units in accordance with this Agreement, prior to the issuance of the Certificate of Occupancy.</w:t>
      </w:r>
    </w:p>
    <w:p>
      <w:pPr>
        <w:pStyle w:val="Heading3"/>
      </w:pPr>
      <w:r>
        <w:rPr>
          <w:color w:val="2E75B6"/>
          <w:sz w:val="26"/>
        </w:rPr>
        <w:t>3.3 Job Creation</w:t>
      </w:r>
    </w:p>
    <w:p>
      <w:r>
        <w:rPr>
          <w:color w:val="333333"/>
          <w:sz w:val="22"/>
        </w:rPr>
        <w:t>The Developer shall use good faith efforts to achieve the following job creation targets:</w:t>
      </w:r>
    </w:p>
    <w:p>
      <w:pPr>
        <w:pStyle w:val="ListBullet"/>
        <w:ind w:left="720"/>
      </w:pPr>
      <w:r>
        <w:rPr>
          <w:b/>
          <w:color w:val="1F4E78"/>
          <w:sz w:val="22"/>
        </w:rPr>
        <w:t>Construction Jobs:</w:t>
      </w:r>
      <w:r>
        <w:rPr>
          <w:color w:val="333333"/>
          <w:sz w:val="22"/>
        </w:rPr>
        <w:t xml:space="preserve"> Generate a minimum of one hundred fifty (150) direct and indirect construction-related jobs during the Project's construction phase.</w:t>
      </w:r>
    </w:p>
    <w:p>
      <w:pPr>
        <w:pStyle w:val="ListBullet"/>
        <w:ind w:left="720"/>
      </w:pPr>
      <w:r>
        <w:rPr>
          <w:b/>
          <w:color w:val="1F4E78"/>
          <w:sz w:val="22"/>
        </w:rPr>
        <w:t>Permanent Jobs:</w:t>
      </w:r>
      <w:r>
        <w:rPr>
          <w:color w:val="333333"/>
          <w:sz w:val="22"/>
        </w:rPr>
        <w:t xml:space="preserve"> Create and maintain a minimum of ten (10) permanent, full-time equivalent (FTE) jobs within the Project upon stabilization (defined as 90% occupancy for 90 consecutive days).</w:t>
      </w:r>
    </w:p>
    <w:p>
      <w:pPr>
        <w:pStyle w:val="Heading3"/>
      </w:pPr>
      <w:r>
        <w:rPr>
          <w:color w:val="2E75B6"/>
          <w:sz w:val="26"/>
        </w:rPr>
        <w:t>3.4 Local Preference</w:t>
      </w:r>
    </w:p>
    <w:p>
      <w:r>
        <w:rPr>
          <w:color w:val="333333"/>
          <w:sz w:val="22"/>
        </w:rPr>
        <w:t>The Developer shall make a good faith effort to solicit bids and award at least twenty-five percent (25%) of subcontracts for the Project to contractors, subcontractors, and suppliers whose principal place of business is located within the City of Springfield, Illinois, provided such entities submit competitive bids and meet all project requirements.</w:t>
      </w:r>
    </w:p>
    <w:p>
      <w:pPr>
        <w:pStyle w:val="Heading3"/>
      </w:pPr>
      <w:r>
        <w:rPr>
          <w:color w:val="2E75B6"/>
          <w:sz w:val="26"/>
        </w:rPr>
        <w:t>3.5 Compliance with Laws</w:t>
      </w:r>
    </w:p>
    <w:p>
      <w:r>
        <w:rPr>
          <w:color w:val="333333"/>
          <w:sz w:val="22"/>
        </w:rPr>
        <w:t>The Developer shall, at all times, perform its obligations under this Agreement and develop the Project in strict compliance with all applicable federal, state, and local laws, ordinances, rules, and regulations, including but not limited to environmental laws, building codes, zoning ordinances, and fair housing laws.</w:t>
      </w:r>
    </w:p>
    <w:p>
      <w:pPr>
        <w:pStyle w:val="Heading3"/>
      </w:pPr>
      <w:r>
        <w:rPr>
          <w:color w:val="2E75B6"/>
          <w:sz w:val="26"/>
        </w:rPr>
        <w:t>3.6 Reporting Requirements</w:t>
      </w:r>
    </w:p>
    <w:p>
      <w:r>
        <w:rPr>
          <w:color w:val="333333"/>
          <w:sz w:val="22"/>
        </w:rPr>
        <w:t>The Developer shall provide the City with the following reports:</w:t>
      </w:r>
    </w:p>
    <w:p>
      <w:pPr>
        <w:pStyle w:val="ListBullet"/>
        <w:ind w:left="720"/>
      </w:pPr>
      <w:r>
        <w:rPr>
          <w:b/>
          <w:color w:val="1F4E78"/>
          <w:sz w:val="22"/>
        </w:rPr>
        <w:t>Quarterly Progress Reports:</w:t>
      </w:r>
      <w:r>
        <w:rPr>
          <w:color w:val="333333"/>
          <w:sz w:val="22"/>
        </w:rPr>
        <w:t xml:space="preserve"> During construction, a quarterly report detailing construction progress, Project Costs incurred, and an updated construction schedule.</w:t>
      </w:r>
    </w:p>
    <w:p>
      <w:pPr>
        <w:pStyle w:val="ListBullet"/>
        <w:ind w:left="720"/>
      </w:pPr>
      <w:r>
        <w:rPr>
          <w:b/>
          <w:color w:val="1F4E78"/>
          <w:sz w:val="22"/>
        </w:rPr>
        <w:t>Annual Compliance Reports:</w:t>
      </w:r>
      <w:r>
        <w:rPr>
          <w:color w:val="333333"/>
          <w:sz w:val="22"/>
        </w:rPr>
        <w:t xml:space="preserve"> Annually, for the duration of the Incentive Period and the Affordable Unit restriction period, a report detailing compliance with Sections 3.1 (Minimum Investment), 3.2 (Affordable Housing Component), and 3.3 (Job Creation). These reports shall be submitted by March 1st for the preceding calendar year.</w:t>
      </w:r>
    </w:p>
    <w:p>
      <w:pPr>
        <w:pStyle w:val="Heading2"/>
      </w:pPr>
      <w:r>
        <w:rPr>
          <w:color w:val="2E75B6"/>
          <w:sz w:val="30"/>
        </w:rPr>
        <w:t>ARTICLE IV: CONDITIONS PRECEDENT TO EFFECTIVENESS</w:t>
      </w:r>
    </w:p>
    <w:p>
      <w:r>
        <w:rPr>
          <w:color w:val="333333"/>
          <w:sz w:val="22"/>
        </w:rPr>
        <w:t>This Agreement shall not become effective, and the City shall not be obligated to grant any incentives hereunder, until the satisfaction of the following conditions precedent:</w:t>
      </w:r>
    </w:p>
    <w:p>
      <w:pPr>
        <w:pStyle w:val="ListBullet"/>
        <w:ind w:left="720"/>
      </w:pPr>
      <w:r>
        <w:rPr>
          <w:color w:val="333333"/>
          <w:sz w:val="22"/>
        </w:rPr>
        <w:t>This Agreement has been duly executed by authorized representatives of both the City and the Developer.</w:t>
      </w:r>
    </w:p>
    <w:p>
      <w:pPr>
        <w:pStyle w:val="ListBullet"/>
        <w:ind w:left="720"/>
      </w:pPr>
      <w:r>
        <w:rPr>
          <w:color w:val="333333"/>
          <w:sz w:val="22"/>
        </w:rPr>
        <w:t>The City Council of the City of Springfield, Illinois, has adopted a resolution formally approving the terms and conditions of this Agreement.</w:t>
      </w:r>
    </w:p>
    <w:p>
      <w:pPr>
        <w:pStyle w:val="ListBullet"/>
        <w:ind w:left="720"/>
      </w:pPr>
      <w:r>
        <w:rPr>
          <w:color w:val="333333"/>
          <w:sz w:val="22"/>
        </w:rPr>
        <w:t>The Developer has secured all necessary Project financing commitments in a form satisfactory to the City.</w:t>
      </w:r>
    </w:p>
    <w:p>
      <w:pPr>
        <w:pStyle w:val="ListBullet"/>
        <w:ind w:left="720"/>
      </w:pPr>
      <w:r>
        <w:rPr>
          <w:color w:val="333333"/>
          <w:sz w:val="22"/>
        </w:rPr>
        <w:t>The Developer has obtained all required zoning approvals, land use entitlements, and preliminary permits necessary to commence the Project.</w:t>
      </w:r>
    </w:p>
    <w:p>
      <w:pPr>
        <w:pStyle w:val="Heading2"/>
      </w:pPr>
      <w:r>
        <w:rPr>
          <w:color w:val="2E75B6"/>
          <w:sz w:val="30"/>
        </w:rPr>
        <w:t>ARTICLE V: TERM AND TERMINATION</w:t>
      </w:r>
    </w:p>
    <w:p>
      <w:pPr>
        <w:pStyle w:val="Heading3"/>
      </w:pPr>
      <w:r>
        <w:rPr>
          <w:color w:val="2E75B6"/>
          <w:sz w:val="26"/>
        </w:rPr>
        <w:t>5.1 Term</w:t>
      </w:r>
    </w:p>
    <w:p>
      <w:r>
        <w:rPr>
          <w:color w:val="333333"/>
          <w:sz w:val="22"/>
        </w:rPr>
        <w:t>This Agreement shall commence on the Effective Date and shall remain in full force and effect for a period of fifteen (15) years from the Completion Date, or until all obligations of both Parties hereunder have been fully satisfied, whichever is later. The tax abatement specifically shall run for the Incentive Period as defined in Section 2.1.</w:t>
      </w:r>
    </w:p>
    <w:p>
      <w:pPr>
        <w:pStyle w:val="Heading3"/>
      </w:pPr>
      <w:r>
        <w:rPr>
          <w:color w:val="2E75B6"/>
          <w:sz w:val="26"/>
        </w:rPr>
        <w:t>5.2 Termination for Cause</w:t>
      </w:r>
    </w:p>
    <w:p>
      <w:r>
        <w:rPr>
          <w:color w:val="333333"/>
          <w:sz w:val="22"/>
        </w:rPr>
        <w:t>Either Party may terminate this Agreement prior to its natural expiration upon a material breach by the other Party, subject to the cure provisions set forth in Article VI.</w:t>
      </w:r>
    </w:p>
    <w:p>
      <w:pPr>
        <w:pStyle w:val="Heading2"/>
      </w:pPr>
      <w:r>
        <w:rPr>
          <w:color w:val="2E75B6"/>
          <w:sz w:val="30"/>
        </w:rPr>
        <w:t>ARTICLE VI: DEFAULT AND REMEDIES</w:t>
      </w:r>
    </w:p>
    <w:p>
      <w:pPr>
        <w:pStyle w:val="Heading3"/>
      </w:pPr>
      <w:r>
        <w:rPr>
          <w:color w:val="2E75B6"/>
          <w:sz w:val="26"/>
        </w:rPr>
        <w:t>6.1 Developer Default</w:t>
      </w:r>
    </w:p>
    <w:p>
      <w:r>
        <w:rPr>
          <w:color w:val="333333"/>
          <w:sz w:val="22"/>
        </w:rPr>
        <w:t>A "Developer Default" shall occur if the Developer fails to materially perform any of its obligations, covenants, or duties under this Agreement, including but not limited to:</w:t>
      </w:r>
    </w:p>
    <w:p>
      <w:pPr>
        <w:pStyle w:val="ListBullet"/>
        <w:ind w:left="720"/>
      </w:pPr>
      <w:r>
        <w:rPr>
          <w:color w:val="333333"/>
          <w:sz w:val="22"/>
        </w:rPr>
        <w:t>Failure to meet the construction Commencement Date or Completion Date as specified in Section 3.1.</w:t>
      </w:r>
    </w:p>
    <w:p>
      <w:pPr>
        <w:pStyle w:val="ListBullet"/>
        <w:ind w:left="720"/>
      </w:pPr>
      <w:r>
        <w:rPr>
          <w:color w:val="333333"/>
          <w:sz w:val="22"/>
        </w:rPr>
        <w:t>Failure to achieve the minimum investment threshold set forth in Section 3.1.</w:t>
      </w:r>
    </w:p>
    <w:p>
      <w:pPr>
        <w:pStyle w:val="ListBullet"/>
        <w:ind w:left="720"/>
      </w:pPr>
      <w:r>
        <w:rPr>
          <w:color w:val="333333"/>
          <w:sz w:val="22"/>
        </w:rPr>
        <w:t>Failure to comply with the Affordable Housing Component requirements of Section 3.2.</w:t>
      </w:r>
    </w:p>
    <w:p>
      <w:pPr>
        <w:pStyle w:val="ListBullet"/>
        <w:ind w:left="720"/>
      </w:pPr>
      <w:r>
        <w:rPr>
          <w:color w:val="333333"/>
          <w:sz w:val="22"/>
        </w:rPr>
        <w:t>Failure to substantially meet the job creation targets of Section 3.3.</w:t>
      </w:r>
    </w:p>
    <w:p>
      <w:pPr>
        <w:pStyle w:val="ListBullet"/>
        <w:ind w:left="720"/>
      </w:pPr>
      <w:r>
        <w:rPr>
          <w:color w:val="333333"/>
          <w:sz w:val="22"/>
        </w:rPr>
        <w:t>Any material misrepresentation in the reports submitted under Section 3.6.</w:t>
      </w:r>
    </w:p>
    <w:p>
      <w:pPr>
        <w:pStyle w:val="Heading3"/>
      </w:pPr>
      <w:r>
        <w:rPr>
          <w:color w:val="2E75B6"/>
          <w:sz w:val="26"/>
        </w:rPr>
        <w:t>6.2 City Remedies for Developer Default</w:t>
      </w:r>
    </w:p>
    <w:p>
      <w:r>
        <w:rPr>
          <w:color w:val="333333"/>
          <w:sz w:val="22"/>
        </w:rPr>
        <w:t>Upon the occurrence of a Developer Default, and following the expiration of any applicable cure period, the City shall have the following remedies, in addition to any other remedies available at law or in equity:</w:t>
      </w:r>
    </w:p>
    <w:p>
      <w:pPr>
        <w:pStyle w:val="ListBullet"/>
        <w:ind w:left="720"/>
      </w:pPr>
      <w:r>
        <w:rPr>
          <w:b/>
          <w:color w:val="1F4E78"/>
          <w:sz w:val="22"/>
        </w:rPr>
        <w:t>Recapture of Incentives:</w:t>
      </w:r>
      <w:r>
        <w:rPr>
          <w:color w:val="333333"/>
          <w:sz w:val="22"/>
        </w:rPr>
        <w:t xml:space="preserve"> The City may, at its option, declare that the Developer is obligated to repay to the City a portion or all of the value of the incentives received hereunder.</w:t>
      </w:r>
    </w:p>
    <w:p>
      <w:pPr>
        <w:pStyle w:val="ListBullet"/>
        <w:ind w:left="1080"/>
      </w:pPr>
      <w:r>
        <w:rPr>
          <w:color w:val="333333"/>
          <w:sz w:val="22"/>
        </w:rPr>
        <w:t>For tax abatements, the City may seek to recapture the abated taxes on a pro-rata basis corresponding to the extent of the Developer's failure to meet its obligations.</w:t>
      </w:r>
    </w:p>
    <w:p>
      <w:pPr>
        <w:pStyle w:val="ListBullet"/>
        <w:ind w:left="1080"/>
      </w:pPr>
      <w:r>
        <w:rPr>
          <w:color w:val="333333"/>
          <w:sz w:val="22"/>
        </w:rPr>
        <w:t>For fee waivers and infrastructure reimbursements, the City may seek to recapture the full amount of such waivers or reimbursements.</w:t>
      </w:r>
    </w:p>
    <w:p>
      <w:pPr>
        <w:pStyle w:val="ListBullet"/>
        <w:ind w:left="1080"/>
      </w:pPr>
      <w:r>
        <w:rPr>
          <w:color w:val="333333"/>
          <w:sz w:val="22"/>
        </w:rPr>
        <w:t>Any recaptured amounts shall bear interest at the prime rate published by The Wall Street Journal plus two percent (2%) from the date the incentive was received by the Developer or the benefit was realized.</w:t>
      </w:r>
    </w:p>
    <w:p>
      <w:pPr>
        <w:pStyle w:val="ListBullet"/>
        <w:ind w:left="720"/>
      </w:pPr>
      <w:r>
        <w:rPr>
          <w:b/>
          <w:color w:val="1F4E78"/>
          <w:sz w:val="22"/>
        </w:rPr>
        <w:t>Revocation of Future Incentives:</w:t>
      </w:r>
      <w:r>
        <w:rPr>
          <w:color w:val="333333"/>
          <w:sz w:val="22"/>
        </w:rPr>
        <w:t xml:space="preserve"> The City may revoke any ungranted or future incentives.</w:t>
      </w:r>
    </w:p>
    <w:p>
      <w:pPr>
        <w:pStyle w:val="ListBullet"/>
        <w:ind w:left="720"/>
      </w:pPr>
      <w:r>
        <w:rPr>
          <w:b/>
          <w:color w:val="1F4E78"/>
          <w:sz w:val="22"/>
        </w:rPr>
        <w:t>Specific Performance:</w:t>
      </w:r>
      <w:r>
        <w:rPr>
          <w:color w:val="333333"/>
          <w:sz w:val="22"/>
        </w:rPr>
        <w:t xml:space="preserve"> The City may seek an order requiring the Developer to specifically perform its obligations hereunder.</w:t>
      </w:r>
    </w:p>
    <w:p>
      <w:pPr>
        <w:pStyle w:val="ListBullet"/>
        <w:ind w:left="720"/>
      </w:pPr>
      <w:r>
        <w:rPr>
          <w:b/>
          <w:color w:val="1F4E78"/>
          <w:sz w:val="22"/>
        </w:rPr>
        <w:t>Injunctive Relief:</w:t>
      </w:r>
      <w:r>
        <w:rPr>
          <w:color w:val="333333"/>
          <w:sz w:val="22"/>
        </w:rPr>
        <w:t xml:space="preserve"> The City may seek injunctive relief to prevent further breach.</w:t>
      </w:r>
    </w:p>
    <w:p>
      <w:pPr>
        <w:pStyle w:val="Heading3"/>
      </w:pPr>
      <w:r>
        <w:rPr>
          <w:color w:val="2E75B6"/>
          <w:sz w:val="26"/>
        </w:rPr>
        <w:t>6.3 City Default</w:t>
      </w:r>
    </w:p>
    <w:p>
      <w:r>
        <w:rPr>
          <w:color w:val="333333"/>
          <w:sz w:val="22"/>
        </w:rPr>
        <w:t>A "City Default" shall occur if the City fails to materially perform any of its obligations, covenants, or duties under this Agreement, including but not limited to:</w:t>
      </w:r>
    </w:p>
    <w:p>
      <w:pPr>
        <w:pStyle w:val="ListBullet"/>
        <w:ind w:left="720"/>
      </w:pPr>
      <w:r>
        <w:rPr>
          <w:color w:val="333333"/>
          <w:sz w:val="22"/>
        </w:rPr>
        <w:t>Failure to apply the granted tax abatements.</w:t>
      </w:r>
    </w:p>
    <w:p>
      <w:pPr>
        <w:pStyle w:val="ListBullet"/>
        <w:ind w:left="720"/>
      </w:pPr>
      <w:r>
        <w:rPr>
          <w:color w:val="333333"/>
          <w:sz w:val="22"/>
        </w:rPr>
        <w:t>Failure to honor fee waivers or infrastructure reimbursements as agreed.</w:t>
      </w:r>
    </w:p>
    <w:p>
      <w:pPr>
        <w:pStyle w:val="ListBullet"/>
        <w:ind w:left="720"/>
      </w:pPr>
      <w:r>
        <w:rPr>
          <w:color w:val="333333"/>
          <w:sz w:val="22"/>
        </w:rPr>
        <w:t>Unreasonable delay in the permitting process in breach of Section 2.4.</w:t>
      </w:r>
    </w:p>
    <w:p>
      <w:pPr>
        <w:pStyle w:val="Heading3"/>
      </w:pPr>
      <w:r>
        <w:rPr>
          <w:color w:val="2E75B6"/>
          <w:sz w:val="26"/>
        </w:rPr>
        <w:t>6.4 Developer Remedies for City Default</w:t>
      </w:r>
    </w:p>
    <w:p>
      <w:r>
        <w:rPr>
          <w:color w:val="333333"/>
          <w:sz w:val="22"/>
        </w:rPr>
        <w:t>Upon the occurrence of a City Default, and following the expiration of any applicable cure period, the Developer shall have the following remedies, in addition to any other remedies available at law or in equity:</w:t>
      </w:r>
    </w:p>
    <w:p>
      <w:pPr>
        <w:pStyle w:val="ListBullet"/>
        <w:ind w:left="720"/>
      </w:pPr>
      <w:r>
        <w:rPr>
          <w:b/>
          <w:color w:val="1F4E78"/>
          <w:sz w:val="22"/>
        </w:rPr>
        <w:t>Specific Performance:</w:t>
      </w:r>
      <w:r>
        <w:rPr>
          <w:color w:val="333333"/>
          <w:sz w:val="22"/>
        </w:rPr>
        <w:t xml:space="preserve"> The Developer may seek an order requiring the City to specifically perform its obligations hereunder.</w:t>
      </w:r>
    </w:p>
    <w:p>
      <w:pPr>
        <w:pStyle w:val="ListBullet"/>
        <w:ind w:left="720"/>
      </w:pPr>
      <w:r>
        <w:rPr>
          <w:b/>
          <w:color w:val="1F4E78"/>
          <w:sz w:val="22"/>
        </w:rPr>
        <w:t>Damages:</w:t>
      </w:r>
      <w:r>
        <w:rPr>
          <w:color w:val="333333"/>
          <w:sz w:val="22"/>
        </w:rPr>
        <w:t xml:space="preserve"> The Developer may seek to recover direct, actual, and verifiable damages resulting from the City's default; provided, however, that in no event shall the City be liable for indirect, consequential, special, or punitive damages.</w:t>
      </w:r>
    </w:p>
    <w:p>
      <w:pPr>
        <w:pStyle w:val="Heading3"/>
      </w:pPr>
      <w:r>
        <w:rPr>
          <w:color w:val="2E75B6"/>
          <w:sz w:val="26"/>
        </w:rPr>
        <w:t>6.5 Notice and Cure</w:t>
      </w:r>
    </w:p>
    <w:p>
      <w:r>
        <w:rPr>
          <w:color w:val="333333"/>
          <w:sz w:val="22"/>
        </w:rPr>
        <w:t>Upon the occurrence of an event of default, the non-defaulting Party shall provide written notice to the defaulting Party, specifying the nature of the default. The defaulting Party shall have sixty (60) days from the receipt of such notice to cure a monetary default, and ninety (90) days from the receipt of such notice to cure a non-monetary default (or such longer period as is reasonably necessary if the default is not capable of cure within ninety (90) days, provided the defaulting Party commences cure within ninety (90) days and diligently pursues the same to completion).</w:t>
      </w:r>
    </w:p>
    <w:p>
      <w:pPr>
        <w:pStyle w:val="Heading2"/>
      </w:pPr>
      <w:r>
        <w:rPr>
          <w:color w:val="2E75B6"/>
          <w:sz w:val="30"/>
        </w:rPr>
        <w:t>ARTICLE VII: REPRESENTATIONS AND WARRANTIES</w:t>
      </w:r>
    </w:p>
    <w:p>
      <w:r>
        <w:rPr>
          <w:color w:val="333333"/>
          <w:sz w:val="22"/>
        </w:rPr>
        <w:t>Each Party represents and warrants to the other that: (a) it is duly organized, validly existing, and in good standing under the laws of its jurisdiction of organization; (b) it has the full power and authority to enter into and perform its obligations under this Agreement; (c) the execution and delivery of this Agreement and the performance of its obligations hereunder do not violate its organizational documents or any agreement to which it is a party; and (d) this Agreement constitutes its valid and binding obligation, enforceable in accordance with its terms.</w:t>
      </w:r>
    </w:p>
    <w:p>
      <w:pPr>
        <w:pStyle w:val="Heading2"/>
      </w:pPr>
      <w:r>
        <w:rPr>
          <w:color w:val="2E75B6"/>
          <w:sz w:val="30"/>
        </w:rPr>
        <w:t>ARTICLE VIII: INDEMNIFICATION</w:t>
      </w:r>
    </w:p>
    <w:p>
      <w:r>
        <w:rPr>
          <w:color w:val="333333"/>
          <w:sz w:val="22"/>
        </w:rPr>
        <w:t>The Developer shall indemnify, defend, and hold harmless the City, its officers, officials, employees, and agents from and against any and all claims, demands, liabilities, damages, losses, and expenses (including reasonable attorneys' fees) arising out of or in connection with the Developer's development, construction, ownership, or operation of the Project, except to the extent caused by the sole gross negligence or willful misconduct of the City.</w:t>
      </w:r>
    </w:p>
    <w:p>
      <w:pPr>
        <w:pStyle w:val="Heading2"/>
      </w:pPr>
      <w:r>
        <w:rPr>
          <w:color w:val="2E75B6"/>
          <w:sz w:val="30"/>
        </w:rPr>
        <w:t>ARTICLE IX: MISCELLANEOUS PROVISIONS</w:t>
      </w:r>
    </w:p>
    <w:p>
      <w:pPr>
        <w:pStyle w:val="Heading3"/>
      </w:pPr>
      <w:r>
        <w:rPr>
          <w:color w:val="2E75B6"/>
          <w:sz w:val="26"/>
        </w:rPr>
        <w:t>9.1 Governing Law and Venue</w:t>
      </w:r>
    </w:p>
    <w:p>
      <w:r>
        <w:rPr>
          <w:color w:val="333333"/>
          <w:sz w:val="22"/>
        </w:rPr>
        <w:t>This Agreement shall be governed by and construed in accordance with the laws of the State of Illinois, without regard to its conflict of laws principles. Any legal action or proceeding arising out of or relating to this Agreement shall be brought exclusively in the state courts located in Springfield, Sangamon County, Illinois.</w:t>
      </w:r>
    </w:p>
    <w:p>
      <w:pPr>
        <w:pStyle w:val="Heading3"/>
      </w:pPr>
      <w:r>
        <w:rPr>
          <w:color w:val="2E75B6"/>
          <w:sz w:val="26"/>
        </w:rPr>
        <w:t>9.2 Notices</w:t>
      </w:r>
    </w:p>
    <w:p>
      <w:r>
        <w:rPr>
          <w:color w:val="333333"/>
          <w:sz w:val="22"/>
        </w:rPr>
        <w:t>All notices, requests, demands, and other communications required or permitted hereunder shall be in writing and shall be deemed to have been duly given when delivered by hand, by nationally recognized overnight courier service, or by certified mail, return receipt requested, to the Parties at the addresses set forth below, or to such other addresses as either Party may designate by written notice to the other.</w:t>
      </w:r>
    </w:p>
    <w:p>
      <w:r>
        <w:rPr>
          <w:b/>
          <w:color w:val="1F4E78"/>
          <w:sz w:val="22"/>
        </w:rPr>
        <w:t>To the City:</w:t>
      </w:r>
    </w:p>
    <w:p>
      <w:r>
        <w:rPr>
          <w:color w:val="333333"/>
          <w:sz w:val="22"/>
        </w:rPr>
        <w:t>City of Springfield, Illinois Office of the City Clerk 300 S. 7th Street Springfield, IL 62701 Attn: City Clerk, with a copy to City Attorney</w:t>
      </w:r>
    </w:p>
    <w:p>
      <w:r>
        <w:rPr>
          <w:b/>
          <w:color w:val="1F4E78"/>
          <w:sz w:val="22"/>
        </w:rPr>
        <w:t>To the Developer:</w:t>
      </w:r>
    </w:p>
    <w:p>
      <w:r>
        <w:rPr>
          <w:color w:val="333333"/>
          <w:sz w:val="22"/>
        </w:rPr>
        <w:t>So-Good Developments, LLC 123 Main Street Anytown, DE 19702 Attn: Managing Member, with a copy to Legal Counsel</w:t>
      </w:r>
    </w:p>
    <w:p>
      <w:pPr>
        <w:pStyle w:val="Heading3"/>
      </w:pPr>
      <w:r>
        <w:rPr>
          <w:color w:val="2E75B6"/>
          <w:sz w:val="26"/>
        </w:rPr>
        <w:t>9.3 Entire Agreement</w:t>
      </w:r>
    </w:p>
    <w:p>
      <w:r>
        <w:rPr>
          <w:color w:val="333333"/>
          <w:sz w:val="22"/>
        </w:rPr>
        <w:t>This Agreement constitutes the entire agreement between the Parties with respect to the subject matter hereof and supersedes all prior discussions, negotiations, and agreements, whether written or oral.</w:t>
      </w:r>
    </w:p>
    <w:p>
      <w:pPr>
        <w:pStyle w:val="Heading3"/>
      </w:pPr>
      <w:r>
        <w:rPr>
          <w:color w:val="2E75B6"/>
          <w:sz w:val="26"/>
        </w:rPr>
        <w:t>9.4 Amendments</w:t>
      </w:r>
    </w:p>
    <w:p>
      <w:r>
        <w:rPr>
          <w:color w:val="333333"/>
          <w:sz w:val="22"/>
        </w:rPr>
        <w:t>This Agreement may not be amended, modified, or supplemented except by a written instrument executed by authorized representatives of both Parties.</w:t>
      </w:r>
    </w:p>
    <w:p>
      <w:pPr>
        <w:pStyle w:val="Heading3"/>
      </w:pPr>
      <w:r>
        <w:rPr>
          <w:color w:val="2E75B6"/>
          <w:sz w:val="26"/>
        </w:rPr>
        <w:t>9.5 Severability</w:t>
      </w:r>
    </w:p>
    <w:p>
      <w:r>
        <w:rPr>
          <w:color w:val="333333"/>
          <w:sz w:val="22"/>
        </w:rPr>
        <w:t>If any provision of this Agreement is held to be invalid, illegal, or unenforceable, the validity, legality, and enforceability of the remaining provisions shall not in any way be affected or impaired thereby.</w:t>
      </w:r>
    </w:p>
    <w:p>
      <w:pPr>
        <w:pStyle w:val="Heading3"/>
      </w:pPr>
      <w:r>
        <w:rPr>
          <w:color w:val="2E75B6"/>
          <w:sz w:val="26"/>
        </w:rPr>
        <w:t>9.6 Successors and Assigns</w:t>
      </w:r>
    </w:p>
    <w:p>
      <w:r>
        <w:rPr>
          <w:color w:val="333333"/>
          <w:sz w:val="22"/>
        </w:rPr>
        <w:t>This Agreement shall be binding upon and inure to the benefit of the Parties hereto and their respective successors and permitted assigns. The Developer shall not assign its rights or obligations under this Agreement without the prior written consent of the City, which consent shall not be unreasonably withheld, conditioned, or delayed, provided any assignee assumes all of the Developer's obligations hereunder.</w:t>
      </w:r>
    </w:p>
    <w:p>
      <w:pPr>
        <w:pStyle w:val="Heading3"/>
      </w:pPr>
      <w:r>
        <w:rPr>
          <w:color w:val="2E75B6"/>
          <w:sz w:val="26"/>
        </w:rPr>
        <w:t>9.7 No Third-Party Beneficiaries</w:t>
      </w:r>
    </w:p>
    <w:p>
      <w:r>
        <w:rPr>
          <w:color w:val="333333"/>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p>
      <w:pPr>
        <w:pStyle w:val="Heading3"/>
      </w:pPr>
      <w:r>
        <w:rPr>
          <w:color w:val="2E75B6"/>
          <w:sz w:val="26"/>
        </w:rPr>
        <w:t>9.8 Counterparts</w:t>
      </w:r>
    </w:p>
    <w:p>
      <w:r>
        <w:rPr>
          <w:color w:val="333333"/>
          <w:sz w:val="22"/>
        </w:rPr>
        <w:t>This Agreement may be executed in one or more counterparts, each of which shall be deemed an original, but all of which together shall constitute one and the same instrument.</w:t>
      </w:r>
    </w:p>
    <w:p>
      <w:r>
        <w:rPr>
          <w:color w:val="333333"/>
          <w:sz w:val="22"/>
        </w:rPr>
        <w:t>IN WITNESS WHEREOF, the Parties hereto have executed this Incentive Agreement as of the Effective Date first written above.</w:t>
      </w:r>
    </w:p>
    <w:p>
      <w:r>
        <w:rPr>
          <w:b/>
          <w:color w:val="1F4E78"/>
          <w:sz w:val="22"/>
        </w:rPr>
        <w:t>THE CITY OF SPRINGFIELD, ILLINOIS</w:t>
      </w:r>
    </w:p>
    <w:p>
      <w:r>
        <w:rPr>
          <w:color w:val="333333"/>
          <w:sz w:val="22"/>
        </w:rPr>
        <w:t>By: ______________________________ Name: [Mayor's Name] Title: Mayor</w:t>
      </w:r>
    </w:p>
    <w:p>
      <w:r>
        <w:rPr>
          <w:color w:val="333333"/>
          <w:sz w:val="22"/>
        </w:rPr>
        <w:t>Attest: By: ______________________________ Name: [City Clerk's Name] Title: City Clerk</w:t>
      </w:r>
    </w:p>
    <w:p>
      <w:r>
        <w:rPr>
          <w:b/>
          <w:color w:val="1F4E78"/>
          <w:sz w:val="22"/>
        </w:rPr>
        <w:t>SO-GOOD DEVELOPMENTS, LLC</w:t>
      </w:r>
    </w:p>
    <w:p>
      <w:r>
        <w:rPr>
          <w:color w:val="333333"/>
          <w:sz w:val="22"/>
        </w:rPr>
        <w:t>By: ______________________________ Name: [Authorized Signatory Name] Title: Managing Member</w:t>
      </w:r>
    </w:p>
    <w:p>
      <w:r>
        <w:rPr>
          <w:b/>
          <w:color w:val="1F4E78"/>
          <w:sz w:val="22"/>
        </w:rPr>
        <w:t>Exhibit A</w:t>
      </w:r>
      <w:r>
        <w:rPr>
          <w:color w:val="333333"/>
          <w:sz w:val="22"/>
        </w:rPr>
        <w:t xml:space="preserve"> [Legal Description of the Property] </w:t>
      </w:r>
      <w:r>
        <w:rPr>
          <w:i/>
          <w:color w:val="333333"/>
          <w:sz w:val="22"/>
        </w:rPr>
        <w:t>A parcel of land located in the City of Springfield, Sangamon County, Illinois, more particularly described as follows: LOT 1 OF THE RIVERFRONT REDEVELOPMENT SUBDIVISION, according to the plat thereof recorded on [Date], as Document Number [XXXXXXX], in the Office of the Recorder of Deeds of Sangamon County, Illinois. Commonly known as 456 Riverfront Drive, Springfield, IL.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