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PURCHASE AND SALE AGREEMENT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1"/>
      </w:pPr>
      <w:r>
        <w:rPr>
          <w:color w:val="1F4E78"/>
          <w:sz w:val="36"/>
        </w:rPr>
        <w:t>PURCHASE AND SALE AGREEMENT</w:t>
      </w:r>
    </w:p>
    <w:p>
      <w:r>
        <w:rPr>
          <w:color w:val="333333"/>
          <w:sz w:val="22"/>
        </w:rPr>
        <w:t xml:space="preserve">This Purchase and Sale Agreement (the "Agreement") is made and entered into as of </w:t>
      </w:r>
      <w:r>
        <w:rPr>
          <w:b/>
          <w:color w:val="1F4E78"/>
          <w:sz w:val="22"/>
        </w:rPr>
        <w:t>October 26, 2023</w:t>
      </w:r>
      <w:r>
        <w:rPr>
          <w:color w:val="333333"/>
          <w:sz w:val="22"/>
        </w:rPr>
        <w:t xml:space="preserve"> (the "Effective Date"), by and between </w:t>
      </w:r>
      <w:r>
        <w:rPr>
          <w:b/>
          <w:color w:val="1F4E78"/>
          <w:sz w:val="22"/>
        </w:rPr>
        <w:t>APEX DEVELOPMENT HOLDINGS LLC</w:t>
      </w:r>
      <w:r>
        <w:rPr>
          <w:color w:val="333333"/>
          <w:sz w:val="22"/>
        </w:rPr>
        <w:t xml:space="preserve">, a Delaware limited liability company, with its principal office at 400 Corporate Drive, Suite 200, Wilmington, Delaware 19808 ("Seller"), and </w:t>
      </w:r>
      <w:r>
        <w:rPr>
          <w:b/>
          <w:color w:val="1F4E78"/>
          <w:sz w:val="22"/>
        </w:rPr>
        <w:t>MERIDIAN CAPITAL PARTNERS LP</w:t>
      </w:r>
      <w:r>
        <w:rPr>
          <w:color w:val="333333"/>
          <w:sz w:val="22"/>
        </w:rPr>
        <w:t>, a Delaware limited partnership, with its principal office at 1000 Main Street, Suite 500, Chicago, Illinois 60601 ("Buyer").</w:t>
      </w:r>
    </w:p>
    <w:p>
      <w:pPr>
        <w:pStyle w:val="Heading2"/>
      </w:pPr>
      <w:r>
        <w:rPr>
          <w:color w:val="2E75B6"/>
          <w:sz w:val="30"/>
        </w:rPr>
        <w:t>RECITALS</w:t>
      </w:r>
    </w:p>
    <w:p>
      <w:r>
        <w:rPr>
          <w:color w:val="333333"/>
          <w:sz w:val="22"/>
        </w:rPr>
        <w:t>WHEREAS, Seller is the fee simple owner of certain real property located in Springfield, Illinois, commonly known as the site for the prospective "So-Good Apartments" multi-family development, together with all improvements thereon, and all development rights, entitlements, permits, and plans related thereto (collectively, the "Property");</w:t>
      </w:r>
    </w:p>
    <w:p>
      <w:r>
        <w:rPr>
          <w:color w:val="333333"/>
          <w:sz w:val="22"/>
        </w:rPr>
        <w:t>WHEREAS, Buyer desires to purchase the Property from Seller, and Seller desires to sell the Property to Buyer, upon the terms and conditions hereinafter set forth;</w:t>
      </w:r>
    </w:p>
    <w:p>
      <w:r>
        <w:rPr>
          <w:color w:val="333333"/>
          <w:sz w:val="22"/>
        </w:rPr>
        <w:t>NOW, THEREFORE, for good and valuable consideration, the receipt and sufficiency of which are hereby acknowledged, the parties hereto agree as follows:</w:t>
      </w:r>
    </w:p>
    <w:p>
      <w:pPr>
        <w:pStyle w:val="Heading2"/>
      </w:pPr>
      <w:r>
        <w:rPr>
          <w:color w:val="2E75B6"/>
          <w:sz w:val="30"/>
        </w:rPr>
        <w:t>ARTICLE I: PROPERTY</w:t>
      </w:r>
    </w:p>
    <w:p>
      <w:pPr>
        <w:pStyle w:val="Heading3"/>
      </w:pPr>
      <w:r>
        <w:rPr>
          <w:color w:val="2E75B6"/>
          <w:sz w:val="26"/>
        </w:rPr>
        <w:t>1.1 Property Description</w:t>
      </w:r>
    </w:p>
    <w:p>
      <w:r>
        <w:rPr>
          <w:color w:val="333333"/>
          <w:sz w:val="22"/>
        </w:rPr>
        <w:t>Seller agrees to sell and convey to Buyer, and Buyer agrees to purchase from Seller, all of Seller's right, title, and interest in and to the following (collectively, the "Property"):</w:t>
      </w:r>
    </w:p>
    <w:p>
      <w:pPr>
        <w:pStyle w:val="ListBullet"/>
        <w:ind w:left="720"/>
      </w:pPr>
      <w:r>
        <w:rPr>
          <w:b/>
          <w:color w:val="1F4E78"/>
          <w:sz w:val="22"/>
        </w:rPr>
        <w:t>Land:</w:t>
      </w:r>
      <w:r>
        <w:rPr>
          <w:color w:val="333333"/>
          <w:sz w:val="22"/>
        </w:rPr>
        <w:t xml:space="preserve"> That certain parcel of land located at 123 Main Street, Springfield, Illinois 62701, legally described as Lot 17 of Block 4, "Riverbend Subdivision, Phase I," as recorded in Plat Book 25, Page 31, of the Official Records of Sangamon County, Illinois, Parcel Identification Number 17-23-01-400-015, comprising approximately 8.5 acres, as more fully and legally described in </w:t>
      </w:r>
      <w:r>
        <w:rPr>
          <w:b/>
          <w:color w:val="1F4E78"/>
          <w:sz w:val="22"/>
        </w:rPr>
        <w:t>Exhibit A</w:t>
      </w:r>
      <w:r>
        <w:rPr>
          <w:color w:val="333333"/>
          <w:sz w:val="22"/>
        </w:rPr>
        <w:t xml:space="preserve"> attached hereto (the "Land").</w:t>
      </w:r>
    </w:p>
    <w:p>
      <w:pPr>
        <w:pStyle w:val="ListBullet"/>
        <w:ind w:left="720"/>
      </w:pPr>
      <w:r>
        <w:rPr>
          <w:b/>
          <w:color w:val="1F4E78"/>
          <w:sz w:val="22"/>
        </w:rPr>
        <w:t>Improvements:</w:t>
      </w:r>
      <w:r>
        <w:rPr>
          <w:color w:val="333333"/>
          <w:sz w:val="22"/>
        </w:rPr>
        <w:t xml:space="preserve"> All existing structures, fixtures, and appurtenances situated on the Land, including but not limited to, preliminary grading, utility connections, and foundation work, if any.</w:t>
      </w:r>
    </w:p>
    <w:p>
      <w:pPr>
        <w:pStyle w:val="ListBullet"/>
        <w:ind w:left="720"/>
      </w:pPr>
      <w:r>
        <w:rPr>
          <w:b/>
          <w:color w:val="1F4E78"/>
          <w:sz w:val="22"/>
        </w:rPr>
        <w:t>Intangible Property:</w:t>
      </w:r>
      <w:r>
        <w:rPr>
          <w:color w:val="333333"/>
          <w:sz w:val="22"/>
        </w:rPr>
        <w:t xml:space="preserve"> All of Seller's right, title, and interest in and to all development plans, specifications, surveys, engineering reports, environmental reports, studies, permits, licenses, approvals, governmental authorizations, construction contracts (if assignable), utility commitments, warranties (to the extent assignable), economic incentive agreements, architectural renderings, marketing materials, and all other entitlements related to the development of a 300-unit multi-family apartment project to be known as "So-Good Apartments" on the Land, which are in Seller's possession or control, as further detailed in </w:t>
      </w:r>
      <w:r>
        <w:rPr>
          <w:b/>
          <w:color w:val="1F4E78"/>
          <w:sz w:val="22"/>
        </w:rPr>
        <w:t>Exhibit B</w:t>
      </w:r>
      <w:r>
        <w:rPr>
          <w:color w:val="333333"/>
          <w:sz w:val="22"/>
        </w:rPr>
        <w:t xml:space="preserve"> attached hereto.</w:t>
      </w:r>
    </w:p>
    <w:p>
      <w:pPr>
        <w:pStyle w:val="ListBullet"/>
        <w:ind w:left="720"/>
      </w:pPr>
      <w:r>
        <w:rPr>
          <w:b/>
          <w:color w:val="1F4E78"/>
          <w:sz w:val="22"/>
        </w:rPr>
        <w:t>Rights:</w:t>
      </w:r>
      <w:r>
        <w:rPr>
          <w:color w:val="333333"/>
          <w:sz w:val="22"/>
        </w:rPr>
        <w:t xml:space="preserve"> All easements, rights-of-way, privileges, and appurtenances benefiting the Land.</w:t>
      </w:r>
    </w:p>
    <w:p>
      <w:pPr>
        <w:pStyle w:val="Heading3"/>
      </w:pPr>
      <w:r>
        <w:rPr>
          <w:color w:val="2E75B6"/>
          <w:sz w:val="26"/>
        </w:rPr>
        <w:t>1.2 Exclusions</w:t>
      </w:r>
    </w:p>
    <w:p>
      <w:r>
        <w:rPr>
          <w:color w:val="333333"/>
          <w:sz w:val="22"/>
        </w:rPr>
        <w:t xml:space="preserve">Specifically excluded from the Property are all personal property, equipment, and materials not permanently affixed to the Land or improvements, unless specifically listed in </w:t>
      </w:r>
      <w:r>
        <w:rPr>
          <w:b/>
          <w:color w:val="1F4E78"/>
          <w:sz w:val="22"/>
        </w:rPr>
        <w:t>Exhibit B</w:t>
      </w:r>
      <w:r>
        <w:rPr>
          <w:color w:val="333333"/>
          <w:sz w:val="22"/>
        </w:rPr>
        <w:t>.</w:t>
      </w:r>
    </w:p>
    <w:p>
      <w:pPr>
        <w:pStyle w:val="Heading2"/>
      </w:pPr>
      <w:r>
        <w:rPr>
          <w:color w:val="2E75B6"/>
          <w:sz w:val="30"/>
        </w:rPr>
        <w:t>ARTICLE II: PURCHASE PRICE AND EARNEST MONEY</w:t>
      </w:r>
    </w:p>
    <w:p>
      <w:pPr>
        <w:pStyle w:val="Heading3"/>
      </w:pPr>
      <w:r>
        <w:rPr>
          <w:color w:val="2E75B6"/>
          <w:sz w:val="26"/>
        </w:rPr>
        <w:t>2.1 Purchase Price</w:t>
      </w:r>
    </w:p>
    <w:p>
      <w:r>
        <w:rPr>
          <w:color w:val="333333"/>
          <w:sz w:val="22"/>
        </w:rPr>
        <w:t xml:space="preserve">The total purchase price for the Property shall be </w:t>
      </w:r>
      <w:r>
        <w:rPr>
          <w:b/>
          <w:color w:val="1F4E78"/>
          <w:sz w:val="22"/>
        </w:rPr>
        <w:t>SIXTY-FIVE MILLION AND NO/100 DOLLARS ($65,000,000.00)</w:t>
      </w:r>
      <w:r>
        <w:rPr>
          <w:color w:val="333333"/>
          <w:sz w:val="22"/>
        </w:rPr>
        <w:t xml:space="preserve"> (the "Purchase Price"), payable by Buyer to Seller in accordance with the terms of this Agreement.</w:t>
      </w:r>
    </w:p>
    <w:p>
      <w:pPr>
        <w:pStyle w:val="Heading3"/>
      </w:pPr>
      <w:r>
        <w:rPr>
          <w:color w:val="2E75B6"/>
          <w:sz w:val="26"/>
        </w:rPr>
        <w:t>2.2 Earnest Money Deposit</w:t>
      </w:r>
    </w:p>
    <w:p>
      <w:pPr>
        <w:pStyle w:val="ListBullet"/>
        <w:ind w:left="720"/>
      </w:pPr>
      <w:r>
        <w:rPr>
          <w:b/>
          <w:color w:val="1F4E78"/>
          <w:sz w:val="22"/>
        </w:rPr>
        <w:t>Initial Deposit:</w:t>
      </w:r>
      <w:r>
        <w:rPr>
          <w:color w:val="333333"/>
          <w:sz w:val="22"/>
        </w:rPr>
        <w:t xml:space="preserve"> Within three (3) business days following the Effective Date, Buyer shall deposit with Chicago Title Insurance Company, at its office located at 55 West Wacker Drive, Suite 1000, Chicago, Illinois (the "Title Company"), an initial earnest money deposit of </w:t>
      </w:r>
      <w:r>
        <w:rPr>
          <w:b/>
          <w:color w:val="1F4E78"/>
          <w:sz w:val="22"/>
        </w:rPr>
        <w:t>TWO MILLION AND NO/100 DOLLARS ($2,000,000.00)</w:t>
      </w:r>
      <w:r>
        <w:rPr>
          <w:color w:val="333333"/>
          <w:sz w:val="22"/>
        </w:rPr>
        <w:t xml:space="preserve"> (the "Initial EMD"). The Initial EMD shall be held in an interest-bearing account, with interest accruing to the benefit of Buyer until closing, at which point it becomes Seller's, or as otherwise provided herein.</w:t>
      </w:r>
    </w:p>
    <w:p>
      <w:pPr>
        <w:pStyle w:val="ListBullet"/>
        <w:ind w:left="720"/>
      </w:pPr>
      <w:r>
        <w:rPr>
          <w:b/>
          <w:color w:val="1F4E78"/>
          <w:sz w:val="22"/>
        </w:rPr>
        <w:t>Additional Deposit:</w:t>
      </w:r>
      <w:r>
        <w:rPr>
          <w:color w:val="333333"/>
          <w:sz w:val="22"/>
        </w:rPr>
        <w:t xml:space="preserve"> On or before the expiration of the Due Diligence Period (as defined in Section 4.1), if Buyer has not terminated this Agreement, Buyer shall deposit an additional earnest money deposit of </w:t>
      </w:r>
      <w:r>
        <w:rPr>
          <w:b/>
          <w:color w:val="1F4E78"/>
          <w:sz w:val="22"/>
        </w:rPr>
        <w:t>ONE MILLION AND NO/100 DOLLARS ($1,000,000.00)</w:t>
      </w:r>
      <w:r>
        <w:rPr>
          <w:color w:val="333333"/>
          <w:sz w:val="22"/>
        </w:rPr>
        <w:t xml:space="preserve"> (the "Additional EMD," and together with the Initial EMD, the "Earnest Money"). Upon deposit of the Additional EMD, the entire Earnest Money of $3,000,000.00 shall become non-refundable to Buyer, except in the event of a default by Seller or a failure of a condition precedent to Buyer's obligations under Article VIII.</w:t>
      </w:r>
    </w:p>
    <w:p>
      <w:pPr>
        <w:pStyle w:val="ListBullet"/>
        <w:ind w:left="720"/>
      </w:pPr>
      <w:r>
        <w:rPr>
          <w:b/>
          <w:color w:val="1F4E78"/>
          <w:sz w:val="22"/>
        </w:rPr>
        <w:t>Application of Earnest Money:</w:t>
      </w:r>
      <w:r>
        <w:rPr>
          <w:color w:val="333333"/>
          <w:sz w:val="22"/>
        </w:rPr>
        <w:t xml:space="preserve"> The Earnest Money shall be applied as a credit against the Purchase Price at Closing.</w:t>
      </w:r>
    </w:p>
    <w:p>
      <w:pPr>
        <w:pStyle w:val="Heading3"/>
      </w:pPr>
      <w:r>
        <w:rPr>
          <w:color w:val="2E75B6"/>
          <w:sz w:val="26"/>
        </w:rPr>
        <w:t>2.3 Payment Terms</w:t>
      </w:r>
    </w:p>
    <w:p>
      <w:r>
        <w:rPr>
          <w:color w:val="333333"/>
          <w:sz w:val="22"/>
        </w:rPr>
        <w:t>The balance of the Purchase Price, adjusted for prorations and credits as provided herein, shall be paid by Buyer to Seller at Closing via wire transfer of immediately available federal funds.</w:t>
      </w:r>
    </w:p>
    <w:p>
      <w:pPr>
        <w:pStyle w:val="Heading2"/>
      </w:pPr>
      <w:r>
        <w:rPr>
          <w:color w:val="2E75B6"/>
          <w:sz w:val="30"/>
        </w:rPr>
        <w:t>ARTICLE III: DUE DILIGENCE AND INSPECTION PERIOD</w:t>
      </w:r>
    </w:p>
    <w:p>
      <w:pPr>
        <w:pStyle w:val="Heading3"/>
      </w:pPr>
      <w:r>
        <w:rPr>
          <w:color w:val="2E75B6"/>
          <w:sz w:val="26"/>
        </w:rPr>
        <w:t>3.1 Due Diligence Period</w:t>
      </w:r>
    </w:p>
    <w:p>
      <w:r>
        <w:rPr>
          <w:color w:val="333333"/>
          <w:sz w:val="22"/>
        </w:rPr>
        <w:t xml:space="preserve">Buyer shall have a period commencing on the Effective Date and expiring at 5:00 P.M. Central Time on the </w:t>
      </w:r>
      <w:r>
        <w:rPr>
          <w:b/>
          <w:color w:val="1F4E78"/>
          <w:sz w:val="22"/>
        </w:rPr>
        <w:t>seventy-fifth (75th) day following the Effective Date (January 9, 2024)</w:t>
      </w:r>
      <w:r>
        <w:rPr>
          <w:color w:val="333333"/>
          <w:sz w:val="22"/>
        </w:rPr>
        <w:t xml:space="preserve"> (the "Due Diligence Period"), during which Buyer, its agents, and consultants shall have the right to conduct a comprehensive review and inspection of the Property and all related documents and information.</w:t>
      </w:r>
    </w:p>
    <w:p>
      <w:pPr>
        <w:pStyle w:val="Heading3"/>
      </w:pPr>
      <w:r>
        <w:rPr>
          <w:color w:val="2E75B6"/>
          <w:sz w:val="26"/>
        </w:rPr>
        <w:t>3.2 Seller's Cooperation</w:t>
      </w:r>
    </w:p>
    <w:p>
      <w:r>
        <w:rPr>
          <w:color w:val="333333"/>
          <w:sz w:val="22"/>
        </w:rPr>
        <w:t>During the Due Diligence Period, Seller shall:</w:t>
      </w:r>
    </w:p>
    <w:p>
      <w:pPr>
        <w:pStyle w:val="ListBullet"/>
        <w:ind w:left="720"/>
      </w:pPr>
      <w:r>
        <w:rPr>
          <w:color w:val="333333"/>
          <w:sz w:val="22"/>
        </w:rPr>
        <w:t>Grant Buyer and its agents reasonable access to the Property during normal business hours upon not less than twenty-four (24) hours' prior notice, provided such access does not unreasonably interfere with any ongoing activities on the Property. Buyer shall indemnify and hold Seller harmless from any damages, liens, or claims resulting from Buyer's inspections, including the acts or omissions of Buyer's agents or contractors, excluding pre-existing conditions.</w:t>
      </w:r>
    </w:p>
    <w:p>
      <w:pPr>
        <w:pStyle w:val="ListBullet"/>
        <w:ind w:left="720"/>
      </w:pPr>
      <w:r>
        <w:rPr>
          <w:color w:val="333333"/>
          <w:sz w:val="22"/>
        </w:rPr>
        <w:t>Provide Buyer with copies of all documents and information related to the Property and its development, including but not limited to, the intangible property listed in Section 1.1, within five (5) business days of the Effective Date. This includes existing title commitments, surveys, environmental reports (e.g., Phase I Environmental Site Assessments), geotechnical reports, zoning approvals, site plans, building permits, utility availability letters, and any correspondence with governmental authorities regarding the So-Good Apartments development.</w:t>
      </w:r>
    </w:p>
    <w:p>
      <w:pPr>
        <w:pStyle w:val="Heading3"/>
      </w:pPr>
      <w:r>
        <w:rPr>
          <w:color w:val="2E75B6"/>
          <w:sz w:val="26"/>
        </w:rPr>
        <w:t>3.3 Buyer's Right to Terminate</w:t>
      </w:r>
    </w:p>
    <w:p>
      <w:r>
        <w:rPr>
          <w:color w:val="333333"/>
          <w:sz w:val="22"/>
        </w:rPr>
        <w:t>During the Due Diligence Period, Buyer shall have the absolute right, in its sole and unfettered discretion, to terminate this Agreement for any reason or no reason, by providing written notice of termination to Seller and the Title Company prior to the expiration of the Due Diligence Period.</w:t>
      </w:r>
    </w:p>
    <w:p>
      <w:pPr>
        <w:pStyle w:val="ListBullet"/>
        <w:ind w:left="720"/>
      </w:pPr>
      <w:r>
        <w:rPr>
          <w:b/>
          <w:color w:val="1F4E78"/>
          <w:sz w:val="22"/>
        </w:rPr>
        <w:t>Effect of Termination:</w:t>
      </w:r>
      <w:r>
        <w:rPr>
          <w:color w:val="333333"/>
          <w:sz w:val="22"/>
        </w:rPr>
        <w:t xml:space="preserve"> If Buyer terminates this Agreement during the Due Diligence Period, the Initial EMD shall be immediately returned to Buyer, and neither party shall have any further obligations or liabilities hereunder, except for those provisions that expressly survive termination.</w:t>
      </w:r>
    </w:p>
    <w:p>
      <w:pPr>
        <w:pStyle w:val="ListBullet"/>
        <w:ind w:left="720"/>
      </w:pPr>
      <w:r>
        <w:rPr>
          <w:b/>
          <w:color w:val="1F4E78"/>
          <w:sz w:val="22"/>
        </w:rPr>
        <w:t>Failure to Terminate:</w:t>
      </w:r>
      <w:r>
        <w:rPr>
          <w:color w:val="333333"/>
          <w:sz w:val="22"/>
        </w:rPr>
        <w:t xml:space="preserve"> If Buyer fails to deliver a written notice of termination prior to the expiration of the Due Diligence Period, Buyer shall be deemed to have approved all matters relating to the Property, the Initial EMD shall become non-refundable (subject to the provisions of Section 2.2), and the Additional EMD shall be due as set forth in Section 2.2.</w:t>
      </w:r>
    </w:p>
    <w:p>
      <w:pPr>
        <w:pStyle w:val="Heading3"/>
      </w:pPr>
      <w:r>
        <w:rPr>
          <w:color w:val="2E75B6"/>
          <w:sz w:val="26"/>
        </w:rPr>
        <w:t>3.4 Title and Survey Review</w:t>
      </w:r>
    </w:p>
    <w:p>
      <w:r>
        <w:rPr>
          <w:color w:val="333333"/>
          <w:sz w:val="22"/>
        </w:rPr>
        <w:t>Buyer shall obtain a current title commitment for an ALTA owner's policy of title insurance covering the Land (the "Title Commitment") and an ALTA survey (the "Survey"). Buyer shall have until ten (10) business days prior to the end of the Due Diligence Period to notify Seller in writing of any objections to the Title Commitment or Survey. Seller shall have five (5) business days to elect, in writing, to cure such objections or refuse to cure. If Seller refuses or fails to elect to cure, Buyer's sole remedy shall be to either waive the objection and proceed to Closing or terminate this Agreement, in which case the Initial EMD shall be returned to Buyer.</w:t>
      </w:r>
    </w:p>
    <w:p>
      <w:pPr>
        <w:pStyle w:val="Heading2"/>
      </w:pPr>
      <w:r>
        <w:rPr>
          <w:color w:val="2E75B6"/>
          <w:sz w:val="30"/>
        </w:rPr>
        <w:t>ARTICLE IV: REPRESENTATIONS AND WARRANTIES OF SELLER</w:t>
      </w:r>
    </w:p>
    <w:p>
      <w:r>
        <w:rPr>
          <w:color w:val="333333"/>
          <w:sz w:val="22"/>
        </w:rPr>
        <w:t>Seller represents and warrants to Buyer as of the Effective Date and as of the Closing Date as follows:</w:t>
      </w:r>
    </w:p>
    <w:p>
      <w:pPr>
        <w:pStyle w:val="ListBullet"/>
        <w:ind w:left="720"/>
      </w:pPr>
      <w:r>
        <w:rPr>
          <w:b/>
          <w:color w:val="1F4E78"/>
          <w:sz w:val="22"/>
        </w:rPr>
        <w:t>4.1 Authority:</w:t>
      </w:r>
      <w:r>
        <w:rPr>
          <w:color w:val="333333"/>
          <w:sz w:val="22"/>
        </w:rPr>
        <w:t xml:space="preserve"> Seller is a duly organized and validly existing limited liability company, with full power and authority to enter into this Agreement and to consummate the transactions contemplated hereby.</w:t>
      </w:r>
    </w:p>
    <w:p>
      <w:pPr>
        <w:pStyle w:val="ListBullet"/>
        <w:ind w:left="720"/>
      </w:pPr>
      <w:r>
        <w:rPr>
          <w:b/>
          <w:color w:val="1F4E78"/>
          <w:sz w:val="22"/>
        </w:rPr>
        <w:t>4.2 No Conflicts:</w:t>
      </w:r>
      <w:r>
        <w:rPr>
          <w:color w:val="333333"/>
          <w:sz w:val="22"/>
        </w:rPr>
        <w:t xml:space="preserve"> The execution and delivery of this Agreement and the consummation of the transactions contemplated hereby do not conflict with or violate any organizational documents of Seller or any agreement or law applicable to Seller or the Property.</w:t>
      </w:r>
    </w:p>
    <w:p>
      <w:pPr>
        <w:pStyle w:val="ListBullet"/>
        <w:ind w:left="720"/>
      </w:pPr>
      <w:r>
        <w:rPr>
          <w:b/>
          <w:color w:val="1F4E78"/>
          <w:sz w:val="22"/>
        </w:rPr>
        <w:t>4.3 Litigation:</w:t>
      </w:r>
      <w:r>
        <w:rPr>
          <w:color w:val="333333"/>
          <w:sz w:val="22"/>
        </w:rPr>
        <w:t xml:space="preserve"> There is no pending or, to Seller's knowledge, threatened litigation, arbitration, administrative proceeding, or governmental investigation relating to the Property or Seller's ownership thereof that would materially adversely affect the Property or the transactions contemplated herein.</w:t>
      </w:r>
    </w:p>
    <w:p>
      <w:pPr>
        <w:pStyle w:val="ListBullet"/>
        <w:ind w:left="720"/>
      </w:pPr>
      <w:r>
        <w:rPr>
          <w:b/>
          <w:color w:val="1F4E78"/>
          <w:sz w:val="22"/>
        </w:rPr>
        <w:t>4.4 Environmental Matters:</w:t>
      </w:r>
      <w:r>
        <w:rPr>
          <w:color w:val="333333"/>
          <w:sz w:val="22"/>
        </w:rPr>
        <w:t xml:space="preserve"> To Seller's knowledge, there are no Hazardous Materials (as defined by applicable environmental laws) present on, at, under, or migrating from the Property in violation of applicable environmental laws. Seller has not received any notices from any governmental authority alleging any violation of environmental laws related to the Property.</w:t>
      </w:r>
    </w:p>
    <w:p>
      <w:pPr>
        <w:pStyle w:val="ListBullet"/>
        <w:ind w:left="720"/>
      </w:pPr>
      <w:r>
        <w:rPr>
          <w:b/>
          <w:color w:val="1F4E78"/>
          <w:sz w:val="22"/>
        </w:rPr>
        <w:t>4.5 Permits and Entitlements:</w:t>
      </w:r>
      <w:r>
        <w:rPr>
          <w:color w:val="333333"/>
          <w:sz w:val="22"/>
        </w:rPr>
        <w:t xml:space="preserve"> All necessary zoning, land use, and development approvals, entitlements, and preliminary permits for the construction of a 300-unit multi-family apartment development named "So-Good Apartments" on the Property are in full force and effect and have not been challenged or revoked. Seller has disclosed all conditions, restrictions, and requirements associated with such entitlements.</w:t>
      </w:r>
    </w:p>
    <w:p>
      <w:pPr>
        <w:pStyle w:val="ListBullet"/>
        <w:ind w:left="720"/>
      </w:pPr>
      <w:r>
        <w:rPr>
          <w:b/>
          <w:color w:val="1F4E78"/>
          <w:sz w:val="22"/>
        </w:rPr>
        <w:t>4.6 Compliance with Laws:</w:t>
      </w:r>
      <w:r>
        <w:rPr>
          <w:color w:val="333333"/>
          <w:sz w:val="22"/>
        </w:rPr>
        <w:t xml:space="preserve"> To Seller's knowledge, the Property currently complies with all applicable federal, state, and local laws, ordinances, regulations, and governmental requirements, including but not limited to, zoning, building codes, and accessibility requirements (e.g., ADA), except for those aspects directly related to the construction of the future improvements contemplated by the So-Good Apartments development plans, which Buyer will undertake.</w:t>
      </w:r>
    </w:p>
    <w:p>
      <w:pPr>
        <w:pStyle w:val="ListBullet"/>
        <w:ind w:left="720"/>
      </w:pPr>
      <w:r>
        <w:rPr>
          <w:b/>
          <w:color w:val="1F4E78"/>
          <w:sz w:val="22"/>
        </w:rPr>
        <w:t>4.7 No Liens:</w:t>
      </w:r>
      <w:r>
        <w:rPr>
          <w:color w:val="333333"/>
          <w:sz w:val="22"/>
        </w:rPr>
        <w:t xml:space="preserve"> Seller has not entered into any agreements to sell, lease, or otherwise encumber the Property or any portion thereof that would prevent Seller from conveying fee simple marketable title to Buyer at Closing, subject only to the Permitted Exceptions (as defined in Section 9.2).</w:t>
      </w:r>
    </w:p>
    <w:p>
      <w:pPr>
        <w:pStyle w:val="ListBullet"/>
        <w:ind w:left="720"/>
      </w:pPr>
      <w:r>
        <w:rPr>
          <w:b/>
          <w:color w:val="1F4E78"/>
          <w:sz w:val="22"/>
        </w:rPr>
        <w:t>4.8 "As-Is" Sale:</w:t>
      </w:r>
      <w:r>
        <w:rPr>
          <w:color w:val="333333"/>
          <w:sz w:val="22"/>
        </w:rPr>
        <w:t xml:space="preserve"> EXCEPT AS EXPRESSLY SET FORTH IN THIS ARTICLE IV, BUYER ACKNOWLEDGES AND AGREES THAT IT IS PURCHASING THE PROPERTY "AS IS, WHERE IS, WITH ALL FAULTS," AND WITHOUT ANY OTHER REPRESENTATIONS OR WARRANTIES, EXPRESS OR IMPLIED, OF ANY KIND WHATSOEVER FROM SELLER, INCLUDING, WITHOUT LIMITATION, ANY WARRANTIES AS TO HABITABILITY, MERCHANTABILITY, OR FITNESS FOR A PARTICULAR PURPOSE.</w:t>
      </w:r>
    </w:p>
    <w:p>
      <w:pPr>
        <w:pStyle w:val="Heading2"/>
      </w:pPr>
      <w:r>
        <w:rPr>
          <w:color w:val="2E75B6"/>
          <w:sz w:val="30"/>
        </w:rPr>
        <w:t>ARTICLE V: REPRESENTATIONS AND WARRANTIES OF BUYER</w:t>
      </w:r>
    </w:p>
    <w:p>
      <w:r>
        <w:rPr>
          <w:color w:val="333333"/>
          <w:sz w:val="22"/>
        </w:rPr>
        <w:t>Buyer represents and warrants to Seller as of the Effective Date and as of the Closing Date as follows:</w:t>
      </w:r>
    </w:p>
    <w:p>
      <w:pPr>
        <w:pStyle w:val="ListBullet"/>
        <w:ind w:left="720"/>
      </w:pPr>
      <w:r>
        <w:rPr>
          <w:b/>
          <w:color w:val="1F4E78"/>
          <w:sz w:val="22"/>
        </w:rPr>
        <w:t>5.1 Authority:</w:t>
      </w:r>
      <w:r>
        <w:rPr>
          <w:color w:val="333333"/>
          <w:sz w:val="22"/>
        </w:rPr>
        <w:t xml:space="preserve"> Buyer is a duly organized and validly existing limited partnership, with full power and authority to enter into this Agreement and to consummate the transactions contemplated hereby.</w:t>
      </w:r>
    </w:p>
    <w:p>
      <w:pPr>
        <w:pStyle w:val="ListBullet"/>
        <w:ind w:left="720"/>
      </w:pPr>
      <w:r>
        <w:rPr>
          <w:b/>
          <w:color w:val="1F4E78"/>
          <w:sz w:val="22"/>
        </w:rPr>
        <w:t>5.2 No Conflicts:</w:t>
      </w:r>
      <w:r>
        <w:rPr>
          <w:color w:val="333333"/>
          <w:sz w:val="22"/>
        </w:rPr>
        <w:t xml:space="preserve"> The execution and delivery of this Agreement and the consummation of the transactions contemplated hereby do not conflict with or violate any organizational documents of Buyer or any agreement or law applicable to Buyer.</w:t>
      </w:r>
    </w:p>
    <w:p>
      <w:pPr>
        <w:pStyle w:val="ListBullet"/>
        <w:ind w:left="720"/>
      </w:pPr>
      <w:r>
        <w:rPr>
          <w:b/>
          <w:color w:val="1F4E78"/>
          <w:sz w:val="22"/>
        </w:rPr>
        <w:t>5.3 Funds:</w:t>
      </w:r>
      <w:r>
        <w:rPr>
          <w:color w:val="333333"/>
          <w:sz w:val="22"/>
        </w:rPr>
        <w:t xml:space="preserve"> Buyer has, or will have at Closing, sufficient funds to pay the Purchase Price and all other costs and expenses incurred by Buyer in connection with the transaction.</w:t>
      </w:r>
    </w:p>
    <w:p>
      <w:pPr>
        <w:pStyle w:val="Heading2"/>
      </w:pPr>
      <w:r>
        <w:rPr>
          <w:color w:val="2E75B6"/>
          <w:sz w:val="30"/>
        </w:rPr>
        <w:t>ARTICLE VI: COVENANTS OF SELLER</w:t>
      </w:r>
    </w:p>
    <w:p>
      <w:r>
        <w:rPr>
          <w:color w:val="333333"/>
          <w:sz w:val="22"/>
        </w:rPr>
        <w:t>From the Effective Date until the Closing Date, Seller covenants and agrees:</w:t>
      </w:r>
    </w:p>
    <w:p>
      <w:pPr>
        <w:pStyle w:val="ListBullet"/>
        <w:ind w:left="720"/>
      </w:pPr>
      <w:r>
        <w:rPr>
          <w:b/>
          <w:color w:val="1F4E78"/>
          <w:sz w:val="22"/>
        </w:rPr>
        <w:t>6.1 Maintenance of Property:</w:t>
      </w:r>
      <w:r>
        <w:rPr>
          <w:color w:val="333333"/>
          <w:sz w:val="22"/>
        </w:rPr>
        <w:t xml:space="preserve"> To maintain the Property in its current condition, reasonable wear and tear excepted, and to preserve all existing entitlements, permits, and governmental approvals related to the So-Good Apartments development.</w:t>
      </w:r>
    </w:p>
    <w:p>
      <w:pPr>
        <w:pStyle w:val="ListBullet"/>
        <w:ind w:left="720"/>
      </w:pPr>
      <w:r>
        <w:rPr>
          <w:b/>
          <w:color w:val="1F4E78"/>
          <w:sz w:val="22"/>
        </w:rPr>
        <w:t>6.2 No New Encumbrances:</w:t>
      </w:r>
      <w:r>
        <w:rPr>
          <w:color w:val="333333"/>
          <w:sz w:val="22"/>
        </w:rPr>
        <w:t xml:space="preserve"> Not to enter into any new leases, contracts, or agreements affecting the Property or create any new liens, easements, or other encumbrances without Buyer's prior written consent, which consent may be withheld in Buyer's sole discretion.</w:t>
      </w:r>
    </w:p>
    <w:p>
      <w:pPr>
        <w:pStyle w:val="ListBullet"/>
        <w:ind w:left="720"/>
      </w:pPr>
      <w:r>
        <w:rPr>
          <w:b/>
          <w:color w:val="1F4E78"/>
          <w:sz w:val="22"/>
        </w:rPr>
        <w:t>6.3 Notice of Changes:</w:t>
      </w:r>
      <w:r>
        <w:rPr>
          <w:color w:val="333333"/>
          <w:sz w:val="22"/>
        </w:rPr>
        <w:t xml:space="preserve"> To promptly notify Buyer of any material adverse change in the condition of the Property or any material breach of Seller's representations and warranties contained herein.</w:t>
      </w:r>
    </w:p>
    <w:p>
      <w:pPr>
        <w:pStyle w:val="Heading2"/>
      </w:pPr>
      <w:r>
        <w:rPr>
          <w:color w:val="2E75B6"/>
          <w:sz w:val="30"/>
        </w:rPr>
        <w:t>ARTICLE VII: CONDITIONS PRECEDENT TO CLOSING</w:t>
      </w:r>
    </w:p>
    <w:p>
      <w:pPr>
        <w:pStyle w:val="Heading3"/>
      </w:pPr>
      <w:r>
        <w:rPr>
          <w:color w:val="2E75B6"/>
          <w:sz w:val="26"/>
        </w:rPr>
        <w:t>7.1 Conditions to Buyer's Obligation</w:t>
      </w:r>
    </w:p>
    <w:p>
      <w:r>
        <w:rPr>
          <w:color w:val="333333"/>
          <w:sz w:val="22"/>
        </w:rPr>
        <w:t>Buyer's obligation to close is subject to the satisfaction of the following conditions on or before the Closing Date:</w:t>
      </w:r>
    </w:p>
    <w:p>
      <w:pPr>
        <w:pStyle w:val="ListBullet"/>
        <w:ind w:left="720"/>
      </w:pPr>
      <w:r>
        <w:rPr>
          <w:color w:val="333333"/>
          <w:sz w:val="22"/>
        </w:rPr>
        <w:t>The representations and warranties of Seller contained in Article IV are true and correct in all material respects.</w:t>
      </w:r>
    </w:p>
    <w:p>
      <w:pPr>
        <w:pStyle w:val="ListBullet"/>
        <w:ind w:left="720"/>
      </w:pPr>
      <w:r>
        <w:rPr>
          <w:color w:val="333333"/>
          <w:sz w:val="22"/>
        </w:rPr>
        <w:t>Seller has performed all covenants and agreements required to be performed by it under this Agreement.</w:t>
      </w:r>
    </w:p>
    <w:p>
      <w:pPr>
        <w:pStyle w:val="ListBullet"/>
        <w:ind w:left="720"/>
      </w:pPr>
      <w:r>
        <w:rPr>
          <w:color w:val="333333"/>
          <w:sz w:val="22"/>
        </w:rPr>
        <w:t>Seller's ability to convey good, marketable, and insurable fee simple title to the Property to Buyer by Special Warranty Deed, subject only to the Permitted Exceptions.</w:t>
      </w:r>
    </w:p>
    <w:p>
      <w:pPr>
        <w:pStyle w:val="ListBullet"/>
        <w:ind w:left="720"/>
      </w:pPr>
      <w:r>
        <w:rPr>
          <w:color w:val="333333"/>
          <w:sz w:val="22"/>
        </w:rPr>
        <w:t>Delivery of an ALTA owner's policy of title insurance in the amount of the Purchase Price, insuring Buyer's fee simple title to the Property, subject only to Permitted Exceptions.</w:t>
      </w:r>
    </w:p>
    <w:p>
      <w:pPr>
        <w:pStyle w:val="Heading3"/>
      </w:pPr>
      <w:r>
        <w:rPr>
          <w:color w:val="2E75B6"/>
          <w:sz w:val="26"/>
        </w:rPr>
        <w:t>7.2 Conditions to Seller's Obligation</w:t>
      </w:r>
    </w:p>
    <w:p>
      <w:r>
        <w:rPr>
          <w:color w:val="333333"/>
          <w:sz w:val="22"/>
        </w:rPr>
        <w:t>Seller's obligation to close is subject to the satisfaction of the following conditions on or before the Closing Date:</w:t>
      </w:r>
    </w:p>
    <w:p>
      <w:pPr>
        <w:pStyle w:val="ListBullet"/>
        <w:ind w:left="720"/>
      </w:pPr>
      <w:r>
        <w:rPr>
          <w:color w:val="333333"/>
          <w:sz w:val="22"/>
        </w:rPr>
        <w:t>The representations and warranties of Buyer contained in Article V are true and correct in all material respects.</w:t>
      </w:r>
    </w:p>
    <w:p>
      <w:pPr>
        <w:pStyle w:val="ListBullet"/>
        <w:ind w:left="720"/>
      </w:pPr>
      <w:r>
        <w:rPr>
          <w:color w:val="333333"/>
          <w:sz w:val="22"/>
        </w:rPr>
        <w:t>Buyer has performed all covenants and agreements required to be performed by it under this Agreement.</w:t>
      </w:r>
    </w:p>
    <w:p>
      <w:pPr>
        <w:pStyle w:val="ListBullet"/>
        <w:ind w:left="720"/>
      </w:pPr>
      <w:r>
        <w:rPr>
          <w:color w:val="333333"/>
          <w:sz w:val="22"/>
        </w:rPr>
        <w:t>Buyer's timely delivery of the Purchase Price and other funds required at Closing.</w:t>
      </w:r>
    </w:p>
    <w:p>
      <w:pPr>
        <w:pStyle w:val="Heading2"/>
      </w:pPr>
      <w:r>
        <w:rPr>
          <w:color w:val="2E75B6"/>
          <w:sz w:val="30"/>
        </w:rPr>
        <w:t>ARTICLE VIII: CLOSING</w:t>
      </w:r>
    </w:p>
    <w:p>
      <w:pPr>
        <w:pStyle w:val="Heading3"/>
      </w:pPr>
      <w:r>
        <w:rPr>
          <w:color w:val="2E75B6"/>
          <w:sz w:val="26"/>
        </w:rPr>
        <w:t>8.1 Closing Date</w:t>
      </w:r>
    </w:p>
    <w:p>
      <w:r>
        <w:rPr>
          <w:color w:val="333333"/>
          <w:sz w:val="22"/>
        </w:rPr>
        <w:t xml:space="preserve">The closing of the purchase and sale of the Property (the "Closing") shall occur on </w:t>
      </w:r>
      <w:r>
        <w:rPr>
          <w:b/>
          <w:color w:val="1F4E78"/>
          <w:sz w:val="22"/>
        </w:rPr>
        <w:t>February 8, 2024</w:t>
      </w:r>
      <w:r>
        <w:rPr>
          <w:color w:val="333333"/>
          <w:sz w:val="22"/>
        </w:rPr>
        <w:t>, or such earlier date as mutually agreed upon by the parties, at the offices of the Title Company, or remotely via electronic exchange of documents and funds.</w:t>
      </w:r>
    </w:p>
    <w:p>
      <w:pPr>
        <w:pStyle w:val="Heading3"/>
      </w:pPr>
      <w:r>
        <w:rPr>
          <w:color w:val="2E75B6"/>
          <w:sz w:val="26"/>
        </w:rPr>
        <w:t>8.2 Closing Deliveries</w:t>
      </w:r>
    </w:p>
    <w:p>
      <w:pPr>
        <w:pStyle w:val="ListBullet"/>
        <w:ind w:left="720"/>
      </w:pPr>
      <w:r>
        <w:rPr>
          <w:b/>
          <w:color w:val="1F4E78"/>
          <w:sz w:val="22"/>
        </w:rPr>
        <w:t>By Seller:</w:t>
      </w:r>
    </w:p>
    <w:p>
      <w:pPr>
        <w:pStyle w:val="ListBullet"/>
        <w:ind w:left="1080"/>
      </w:pPr>
      <w:r>
        <w:rPr>
          <w:color w:val="333333"/>
          <w:sz w:val="22"/>
        </w:rPr>
        <w:t>A duly executed Special Warranty Deed conveying fee simple title to the Land to Buyer, subject only to Permitted Exceptions.</w:t>
      </w:r>
    </w:p>
    <w:p>
      <w:pPr>
        <w:pStyle w:val="ListBullet"/>
        <w:ind w:left="1080"/>
      </w:pPr>
      <w:r>
        <w:rPr>
          <w:color w:val="333333"/>
          <w:sz w:val="22"/>
        </w:rPr>
        <w:t>An owner's affidavit in customary form.</w:t>
      </w:r>
    </w:p>
    <w:p>
      <w:pPr>
        <w:pStyle w:val="ListBullet"/>
        <w:ind w:left="1080"/>
      </w:pPr>
      <w:r>
        <w:rPr>
          <w:color w:val="333333"/>
          <w:sz w:val="22"/>
        </w:rPr>
        <w:t>Such other instruments, affidavits, and documents as may be reasonably required by the Title Company to issue the ALTA owner's policy of title insurance to Buyer.</w:t>
      </w:r>
    </w:p>
    <w:p>
      <w:pPr>
        <w:pStyle w:val="ListBullet"/>
        <w:ind w:left="1080"/>
      </w:pPr>
      <w:r>
        <w:rPr>
          <w:color w:val="333333"/>
          <w:sz w:val="22"/>
        </w:rPr>
        <w:t xml:space="preserve">Originals or copies of all Intangible Property specified in Section 1.1 and </w:t>
      </w:r>
      <w:r>
        <w:rPr>
          <w:b/>
          <w:color w:val="1F4E78"/>
          <w:sz w:val="22"/>
        </w:rPr>
        <w:t>Exhibit B</w:t>
      </w:r>
      <w:r>
        <w:rPr>
          <w:color w:val="333333"/>
          <w:sz w:val="22"/>
        </w:rPr>
        <w:t>.</w:t>
      </w:r>
    </w:p>
    <w:p>
      <w:pPr>
        <w:pStyle w:val="ListBullet"/>
        <w:ind w:left="720"/>
      </w:pPr>
      <w:r>
        <w:rPr>
          <w:b/>
          <w:color w:val="1F4E78"/>
          <w:sz w:val="22"/>
        </w:rPr>
        <w:t>By Buyer:</w:t>
      </w:r>
    </w:p>
    <w:p>
      <w:pPr>
        <w:pStyle w:val="ListBullet"/>
        <w:ind w:left="1080"/>
      </w:pPr>
      <w:r>
        <w:rPr>
          <w:color w:val="333333"/>
          <w:sz w:val="22"/>
        </w:rPr>
        <w:t>The balance of the Purchase Price by wire transfer of immediately available federal funds.</w:t>
      </w:r>
    </w:p>
    <w:p>
      <w:pPr>
        <w:pStyle w:val="ListBullet"/>
        <w:ind w:left="1080"/>
      </w:pPr>
      <w:r>
        <w:rPr>
          <w:color w:val="333333"/>
          <w:sz w:val="22"/>
        </w:rPr>
        <w:t>Such other instruments and documents as may be reasonably required by the Title Company.</w:t>
      </w:r>
    </w:p>
    <w:p>
      <w:pPr>
        <w:pStyle w:val="Heading3"/>
      </w:pPr>
      <w:r>
        <w:rPr>
          <w:color w:val="2E75B6"/>
          <w:sz w:val="26"/>
        </w:rPr>
        <w:t>8.3 Prorations and Adjustments</w:t>
      </w:r>
    </w:p>
    <w:p>
      <w:r>
        <w:rPr>
          <w:color w:val="333333"/>
          <w:sz w:val="22"/>
        </w:rPr>
        <w:t>Real estate taxes, special assessments, and other operating expenses and income related to the Property, if any, shall be prorated between Seller and Buyer as of the Closing Date. All utilities shall be read and final billed to Seller as of the Closing Date.</w:t>
      </w:r>
    </w:p>
    <w:p>
      <w:pPr>
        <w:pStyle w:val="Heading3"/>
      </w:pPr>
      <w:r>
        <w:rPr>
          <w:color w:val="2E75B6"/>
          <w:sz w:val="26"/>
        </w:rPr>
        <w:t>8.4 Closing Costs</w:t>
      </w:r>
    </w:p>
    <w:p>
      <w:r>
        <w:rPr>
          <w:color w:val="333333"/>
          <w:sz w:val="22"/>
        </w:rPr>
        <w:t>Seller shall pay the cost of the owner's title insurance policy, one-half (1/2) of the escrow fees charged by the Title Company, and all state and county transfer taxes. Buyer shall pay the cost of the Survey, any endorsements to the title policy requested by Buyer, recording fees for the Deed, and one-half (1/2) of the escrow fees. Each party shall pay its own legal fees.</w:t>
      </w:r>
    </w:p>
    <w:p>
      <w:pPr>
        <w:pStyle w:val="Heading2"/>
      </w:pPr>
      <w:r>
        <w:rPr>
          <w:color w:val="2E75B6"/>
          <w:sz w:val="30"/>
        </w:rPr>
        <w:t>ARTICLE IX: DEFAULT AND REMEDIES</w:t>
      </w:r>
    </w:p>
    <w:p>
      <w:pPr>
        <w:pStyle w:val="Heading3"/>
      </w:pPr>
      <w:r>
        <w:rPr>
          <w:color w:val="2E75B6"/>
          <w:sz w:val="26"/>
        </w:rPr>
        <w:t>9.1 Seller's Default</w:t>
      </w:r>
    </w:p>
    <w:p>
      <w:r>
        <w:rPr>
          <w:color w:val="333333"/>
          <w:sz w:val="22"/>
        </w:rPr>
        <w:t xml:space="preserve">If Seller defaults in its obligations under this Agreement prior to Closing, Buyer, as its sole and exclusive remedies, may elect either: (a) to terminate this Agreement by written notice to Seller and the Title Company, in which event the Earnest Money shall be immediately returned to Buyer, and Seller shall reimburse Buyer for its reasonable, out-of-pocket due diligence expenses up to a maximum of </w:t>
      </w:r>
      <w:r>
        <w:rPr>
          <w:b/>
          <w:color w:val="1F4E78"/>
          <w:sz w:val="22"/>
        </w:rPr>
        <w:t>FIFTY THOUSAND DOLLARS ($50,000.00)</w:t>
      </w:r>
      <w:r>
        <w:rPr>
          <w:color w:val="333333"/>
          <w:sz w:val="22"/>
        </w:rPr>
        <w:t>; or (b) to pursue an action for specific performance of this Agreement.</w:t>
      </w:r>
    </w:p>
    <w:p>
      <w:pPr>
        <w:pStyle w:val="Heading3"/>
      </w:pPr>
      <w:r>
        <w:rPr>
          <w:color w:val="2E75B6"/>
          <w:sz w:val="26"/>
        </w:rPr>
        <w:t>9.2 Buyer's Default</w:t>
      </w:r>
    </w:p>
    <w:p>
      <w:r>
        <w:rPr>
          <w:color w:val="333333"/>
          <w:sz w:val="22"/>
        </w:rPr>
        <w:t>If Buyer defaults in its obligations under this Agreement prior to Closing, Seller, as its sole and exclusive remedy, shall have the right to terminate this Agreement by written notice to Buyer and the Title Company, in which event the Earnest Money shall be retained by Seller as liquidated damages, and not as a penalty. The parties acknowledge that Seller's actual damages in the event of a Buyer default would be difficult to ascertain, and the Earnest Money represents a fair and reasonable estimate of such damages.</w:t>
      </w:r>
    </w:p>
    <w:p>
      <w:pPr>
        <w:pStyle w:val="Heading2"/>
      </w:pPr>
      <w:r>
        <w:rPr>
          <w:color w:val="2E75B6"/>
          <w:sz w:val="30"/>
        </w:rPr>
        <w:t>ARTICLE X: INDEMNIFICATION</w:t>
      </w:r>
    </w:p>
    <w:p>
      <w:pPr>
        <w:pStyle w:val="ListBullet"/>
        <w:ind w:left="720"/>
      </w:pPr>
      <w:r>
        <w:rPr>
          <w:b/>
          <w:color w:val="1F4E78"/>
          <w:sz w:val="22"/>
        </w:rPr>
        <w:t>10.1 Seller's Indemnification:</w:t>
      </w:r>
      <w:r>
        <w:rPr>
          <w:color w:val="333333"/>
          <w:sz w:val="22"/>
        </w:rPr>
        <w:t xml:space="preserve"> Seller shall indemnify, defend, and hold Buyer harmless from and against any and all claims, liabilities, damages, costs, and expenses (including reasonable attorneys' fees) arising from any breach of Seller's representations, warranties, or covenants contained herein or from any matters related to the Property occurring prior to the Closing Date.</w:t>
      </w:r>
    </w:p>
    <w:p>
      <w:pPr>
        <w:pStyle w:val="ListBullet"/>
        <w:ind w:left="720"/>
      </w:pPr>
      <w:r>
        <w:rPr>
          <w:b/>
          <w:color w:val="1F4E78"/>
          <w:sz w:val="22"/>
        </w:rPr>
        <w:t>10.2 Buyer's Indemnification:</w:t>
      </w:r>
      <w:r>
        <w:rPr>
          <w:color w:val="333333"/>
          <w:sz w:val="22"/>
        </w:rPr>
        <w:t xml:space="preserve"> Buyer shall indemnify, defend, and hold Seller harmless from and against any and all claims, liabilities, damages, costs, and expenses (including reasonable attorneys' fees) arising from any breach of Buyer's representations, warranties, or covenants contained herein or from any matters related to the Property occurring on or after the Closing Date.</w:t>
      </w:r>
    </w:p>
    <w:p>
      <w:pPr>
        <w:pStyle w:val="Heading2"/>
      </w:pPr>
      <w:r>
        <w:rPr>
          <w:color w:val="2E75B6"/>
          <w:sz w:val="30"/>
        </w:rPr>
        <w:t>ARTICLE XI: MISCELLANEOUS</w:t>
      </w:r>
    </w:p>
    <w:p>
      <w:pPr>
        <w:pStyle w:val="Heading3"/>
      </w:pPr>
      <w:r>
        <w:rPr>
          <w:color w:val="2E75B6"/>
          <w:sz w:val="26"/>
        </w:rPr>
        <w:t>11.1 Notices</w:t>
      </w:r>
    </w:p>
    <w:p>
      <w:r>
        <w:rPr>
          <w:color w:val="333333"/>
          <w:sz w:val="22"/>
        </w:rPr>
        <w:t>All notices, demands, and other communications required or permitted hereunder shall be in writing and delivered personally, by recognized overnight courier, or by email with confirmed receipt, to the parties at their addresses set forth above.</w:t>
      </w:r>
    </w:p>
    <w:p>
      <w:pPr>
        <w:pStyle w:val="Heading3"/>
      </w:pPr>
      <w:r>
        <w:rPr>
          <w:color w:val="2E75B6"/>
          <w:sz w:val="26"/>
        </w:rPr>
        <w:t>11.2 Governing Law</w:t>
      </w:r>
    </w:p>
    <w:p>
      <w:r>
        <w:rPr>
          <w:color w:val="333333"/>
          <w:sz w:val="22"/>
        </w:rPr>
        <w:t>This Agreement shall be governed by and construed in accordance with the laws of the State of Illinois, without regard to its conflict of laws principles.</w:t>
      </w:r>
    </w:p>
    <w:p>
      <w:pPr>
        <w:pStyle w:val="Heading3"/>
      </w:pPr>
      <w:r>
        <w:rPr>
          <w:color w:val="2E75B6"/>
          <w:sz w:val="26"/>
        </w:rPr>
        <w:t>11.3 Entire Agreement; Amendments</w:t>
      </w:r>
    </w:p>
    <w:p>
      <w:r>
        <w:rPr>
          <w:color w:val="333333"/>
          <w:sz w:val="22"/>
        </w:rPr>
        <w:t>This Agreement, including the Exhibits attached hereto, constitutes the entire agreement between the parties concerning the subject matter hereof and supersedes all prior agreements, understandings, negotiations, and discussions, whether oral or written. No amendment, modification, or waiver of any provision of this Agreement shall be effective unless in writing and signed by both parties.</w:t>
      </w:r>
    </w:p>
    <w:p>
      <w:pPr>
        <w:pStyle w:val="Heading3"/>
      </w:pPr>
      <w:r>
        <w:rPr>
          <w:color w:val="2E75B6"/>
          <w:sz w:val="26"/>
        </w:rPr>
        <w:t>11.4 Assignment</w:t>
      </w:r>
    </w:p>
    <w:p>
      <w:r>
        <w:rPr>
          <w:color w:val="333333"/>
          <w:sz w:val="22"/>
        </w:rPr>
        <w:t>Buyer may not assign its rights or obligations under this Agreement without the prior written consent of Seller, which consent may be withheld in Seller's sole discretion; provided, however, Buyer may assign this Agreement to an entity wholly owned by or under common control with Buyer without Seller's consent, provided Buyer provides Seller with written notice of such assignment.</w:t>
      </w:r>
    </w:p>
    <w:p>
      <w:pPr>
        <w:pStyle w:val="Heading3"/>
      </w:pPr>
      <w:r>
        <w:rPr>
          <w:color w:val="2E75B6"/>
          <w:sz w:val="26"/>
        </w:rPr>
        <w:t>11.5 Time of Essence</w:t>
      </w:r>
    </w:p>
    <w:p>
      <w:r>
        <w:rPr>
          <w:color w:val="333333"/>
          <w:sz w:val="22"/>
        </w:rPr>
        <w:t>Time is of the essence for each provision of this Agreement.</w:t>
      </w:r>
    </w:p>
    <w:p>
      <w:pPr>
        <w:pStyle w:val="Heading3"/>
      </w:pPr>
      <w:r>
        <w:rPr>
          <w:color w:val="2E75B6"/>
          <w:sz w:val="26"/>
        </w:rPr>
        <w:t>11.6 Attorneys' Fees</w:t>
      </w:r>
    </w:p>
    <w:p>
      <w:r>
        <w:rPr>
          <w:color w:val="333333"/>
          <w:sz w:val="22"/>
        </w:rPr>
        <w:t>In the event of any litigation between the parties hereto regarding the enforcement or interpretation of this Agreement, the prevailing party shall be entitled to recover from the non-prevailing party its reasonable attorneys' fees and costs.</w:t>
      </w:r>
    </w:p>
    <w:p>
      <w:pPr>
        <w:pStyle w:val="Heading3"/>
      </w:pPr>
      <w:r>
        <w:rPr>
          <w:color w:val="2E75B6"/>
          <w:sz w:val="26"/>
        </w:rPr>
        <w:t>11.7 Counterparts</w:t>
      </w:r>
    </w:p>
    <w:p>
      <w:r>
        <w:rPr>
          <w:color w:val="333333"/>
          <w:sz w:val="22"/>
        </w:rPr>
        <w:t>This Agreement may be executed in counterparts, each of which shall be deemed an original, but all of which together shall constitute one and the same instrument. Facsimile or electronic signatures shall be deemed original for all purposes.</w:t>
      </w:r>
    </w:p>
    <w:p>
      <w:pPr>
        <w:pStyle w:val="Heading3"/>
      </w:pPr>
      <w:r>
        <w:rPr>
          <w:color w:val="2E75B6"/>
          <w:sz w:val="26"/>
        </w:rPr>
        <w:t>11.8 Severability</w:t>
      </w:r>
    </w:p>
    <w:p>
      <w:r>
        <w:rPr>
          <w:color w:val="333333"/>
          <w:sz w:val="22"/>
        </w:rPr>
        <w:t>If any term or provision of this Agreement is held to be invalid, illegal, or unenforceable, the validity, legality, and enforceability of the remaining terms and provisions shall not in any way be affected or impaired thereby.</w:t>
      </w:r>
    </w:p>
    <w:p>
      <w:pPr>
        <w:pStyle w:val="Heading2"/>
      </w:pPr>
      <w:r>
        <w:rPr>
          <w:color w:val="2E75B6"/>
          <w:sz w:val="30"/>
        </w:rPr>
        <w:t>EXHIBITS</w:t>
      </w:r>
    </w:p>
    <w:p>
      <w:r>
        <w:rPr>
          <w:color w:val="333333"/>
          <w:sz w:val="22"/>
        </w:rPr>
        <w:t>The following Exhibits are attached hereto and incorporated herein by reference:</w:t>
      </w:r>
    </w:p>
    <w:p>
      <w:pPr>
        <w:pStyle w:val="ListBullet"/>
        <w:ind w:left="720"/>
      </w:pPr>
      <w:r>
        <w:rPr>
          <w:b/>
          <w:color w:val="1F4E78"/>
          <w:sz w:val="22"/>
        </w:rPr>
        <w:t>Exhibit A:</w:t>
      </w:r>
      <w:r>
        <w:rPr>
          <w:color w:val="333333"/>
          <w:sz w:val="22"/>
        </w:rPr>
        <w:t xml:space="preserve"> Legal Description of the Land</w:t>
      </w:r>
    </w:p>
    <w:p>
      <w:pPr>
        <w:pStyle w:val="ListBullet"/>
        <w:ind w:left="720"/>
      </w:pPr>
      <w:r>
        <w:rPr>
          <w:b/>
          <w:color w:val="1F4E78"/>
          <w:sz w:val="22"/>
        </w:rPr>
        <w:t>Exhibit B:</w:t>
      </w:r>
      <w:r>
        <w:rPr>
          <w:color w:val="333333"/>
          <w:sz w:val="22"/>
        </w:rPr>
        <w:t xml:space="preserve"> List of Intangible Property and Development Documents</w:t>
      </w:r>
    </w:p>
    <w:p>
      <w:r>
        <w:rPr>
          <w:color w:val="333333"/>
          <w:sz w:val="22"/>
        </w:rPr>
        <w:t>IN WITNESS WHEREOF, the parties hereto have executed this Purchase and Sale Agreement as of the Effective Date first written above.</w:t>
      </w:r>
    </w:p>
    <w:p>
      <w:r>
        <w:rPr>
          <w:b/>
          <w:color w:val="1F4E78"/>
          <w:sz w:val="22"/>
        </w:rPr>
        <w:t>SELLER:</w:t>
      </w:r>
    </w:p>
    <w:p>
      <w:r>
        <w:rPr>
          <w:b/>
          <w:color w:val="1F4E78"/>
          <w:sz w:val="22"/>
        </w:rPr>
        <w:t>APEX DEVELOPMENT HOLDINGS LLC</w:t>
      </w:r>
      <w:r>
        <w:rPr>
          <w:color w:val="333333"/>
          <w:sz w:val="22"/>
        </w:rPr>
        <w:t xml:space="preserve"> A Delaware limited liability company</w:t>
      </w:r>
    </w:p>
    <w:p>
      <w:r>
        <w:rPr>
          <w:color w:val="333333"/>
          <w:sz w:val="22"/>
        </w:rPr>
        <w:t>By: \_\_\_\_\_\_\_\_\_\_\_\_\_\_\_\_\_\_\_\_\_\_\_\_\_\_ Name: [Authorized Signatory Name] Title: Managing Member</w:t>
      </w:r>
    </w:p>
    <w:p>
      <w:r>
        <w:rPr>
          <w:b/>
          <w:color w:val="1F4E78"/>
          <w:sz w:val="22"/>
        </w:rPr>
        <w:t>BUYER:</w:t>
      </w:r>
    </w:p>
    <w:p>
      <w:r>
        <w:rPr>
          <w:b/>
          <w:color w:val="1F4E78"/>
          <w:sz w:val="22"/>
        </w:rPr>
        <w:t>MERIDIAN CAPITAL PARTNERS LP</w:t>
      </w:r>
      <w:r>
        <w:rPr>
          <w:color w:val="333333"/>
          <w:sz w:val="22"/>
        </w:rPr>
        <w:t xml:space="preserve"> A Delaware limited partnership</w:t>
      </w:r>
    </w:p>
    <w:p>
      <w:r>
        <w:rPr>
          <w:color w:val="333333"/>
          <w:sz w:val="22"/>
        </w:rPr>
        <w:t>By: \_\_\_\_\_\_\_\_\_\_\_\_\_\_\_\_\_\_\_\_\_\_\_\_\_\_ Name: [Authorized Signatory Name] Title: General Partner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