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SPONSOR ORG CHART</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2"/>
      </w:pPr>
      <w:r>
        <w:rPr>
          <w:color w:val="2E75B6"/>
          <w:sz w:val="30"/>
        </w:rPr>
        <w:t>Sponsor Organizational Structure Analysis: So-Good Apartments Development</w:t>
      </w:r>
    </w:p>
    <w:p>
      <w:r>
        <w:rPr>
          <w:b/>
          <w:color w:val="1F4E78"/>
          <w:sz w:val="22"/>
        </w:rPr>
        <w:t>To:</w:t>
      </w:r>
      <w:r>
        <w:rPr>
          <w:color w:val="333333"/>
          <w:sz w:val="22"/>
        </w:rPr>
        <w:t xml:space="preserve"> Investment Committee</w:t>
      </w:r>
    </w:p>
    <w:p>
      <w:r>
        <w:rPr>
          <w:b/>
          <w:color w:val="1F4E78"/>
          <w:sz w:val="22"/>
        </w:rPr>
        <w:t>From:</w:t>
      </w:r>
      <w:r>
        <w:rPr>
          <w:color w:val="333333"/>
          <w:sz w:val="22"/>
        </w:rPr>
        <w:t xml:space="preserve"> Senior Underwriting &amp; Legal Analysis Department</w:t>
      </w:r>
    </w:p>
    <w:p>
      <w:r>
        <w:rPr>
          <w:b/>
          <w:color w:val="1F4E78"/>
          <w:sz w:val="22"/>
        </w:rPr>
        <w:t>Date:</w:t>
      </w:r>
      <w:r>
        <w:rPr>
          <w:color w:val="333333"/>
          <w:sz w:val="22"/>
        </w:rPr>
        <w:t xml:space="preserve"> October 26, 2023</w:t>
      </w:r>
    </w:p>
    <w:p>
      <w:r>
        <w:rPr>
          <w:b/>
          <w:color w:val="1F4E78"/>
          <w:sz w:val="22"/>
        </w:rPr>
        <w:t>Subject:</w:t>
      </w:r>
      <w:r>
        <w:rPr>
          <w:color w:val="333333"/>
          <w:sz w:val="22"/>
        </w:rPr>
        <w:t xml:space="preserve"> Comprehensive Sponsor Organizational Chart and Underwriting Review – So-Good Apartments, Springfield, IL ($65,000,000 Multi-Family Development)</w:t>
      </w:r>
    </w:p>
    <w:p>
      <w:pPr>
        <w:pStyle w:val="Heading3"/>
      </w:pPr>
      <w:r>
        <w:rPr>
          <w:color w:val="2E75B6"/>
          <w:sz w:val="26"/>
        </w:rPr>
        <w:t>I. Executive Summary</w:t>
      </w:r>
    </w:p>
    <w:p>
      <w:r>
        <w:rPr>
          <w:color w:val="333333"/>
          <w:sz w:val="22"/>
        </w:rPr>
        <w:t xml:space="preserve">This document provides a highly rigorous, expert-level analysis of the sponsor organizational structure for the proposed So-Good Apartments development, a 250-unit, Class A multi-family residential project located in Springfield, Illinois, with a total project cost projected at $65,000,000. Our review focuses on the legal formation, interdependencies, financial capacity, operational expertise, and risk allocation inherent within the sponsor’s proposed structure. The primary sponsor entity, </w:t>
      </w:r>
      <w:r>
        <w:rPr>
          <w:b/>
          <w:color w:val="1F4E78"/>
          <w:sz w:val="22"/>
        </w:rPr>
        <w:t>Evergreen Development Group, LLC ("EDG")</w:t>
      </w:r>
      <w:r>
        <w:rPr>
          <w:color w:val="333333"/>
          <w:sz w:val="22"/>
        </w:rPr>
        <w:t xml:space="preserve">, in conjunction with its institutional equity partner, </w:t>
      </w:r>
      <w:r>
        <w:rPr>
          <w:b/>
          <w:color w:val="1F4E78"/>
          <w:sz w:val="22"/>
        </w:rPr>
        <w:t>Capital Partners Fund IV, LP ("CPF IV")</w:t>
      </w:r>
      <w:r>
        <w:rPr>
          <w:color w:val="333333"/>
          <w:sz w:val="22"/>
        </w:rPr>
        <w:t xml:space="preserve">, has established a robust and well-articulated framework designed to effectively manage the project's development, construction, lease-up, and stabilization phases. This structure demonstrates a clear delineation of responsibilities, substantial financial backing, and proven execution capabilities, thereby mitigating key underwriting risks. The formation of a project-specific limited partnership, </w:t>
      </w:r>
      <w:r>
        <w:rPr>
          <w:b/>
          <w:color w:val="1F4E78"/>
          <w:sz w:val="22"/>
        </w:rPr>
        <w:t>So-Good Apartments, LP (the "Borrower")</w:t>
      </w:r>
      <w:r>
        <w:rPr>
          <w:color w:val="333333"/>
          <w:sz w:val="22"/>
        </w:rPr>
        <w:t>, directly holds the project assets and liabilities, insulating the primary sponsor to a legally acceptable degree while providing appropriate recourse mechanisms through the principals and institutional guarantees.</w:t>
      </w:r>
    </w:p>
    <w:p>
      <w:pPr>
        <w:pStyle w:val="Heading3"/>
      </w:pPr>
      <w:r>
        <w:rPr>
          <w:color w:val="2E75B6"/>
          <w:sz w:val="26"/>
        </w:rPr>
        <w:t>II. Primary Sponsor Entity: Evergreen Development Group, LLC ("EDG")</w:t>
      </w:r>
    </w:p>
    <w:p>
      <w:r>
        <w:rPr>
          <w:b/>
          <w:color w:val="1F4E78"/>
          <w:sz w:val="22"/>
        </w:rPr>
        <w:t>Evergreen Development Group, LLC</w:t>
      </w:r>
      <w:r>
        <w:rPr>
          <w:color w:val="333333"/>
          <w:sz w:val="22"/>
        </w:rPr>
        <w:t>, a Delaware limited liability company formed in 2002, serves as the managing principal and lead developer for the So-Good Apartments project. EDG possesses an extensive track record in multi-family development, having successfully completed over 3,500 residential units across 15 distinct projects with an aggregate asset value exceeding $800,000,000 since its inception. Their portfolio spans various multi-family asset classes, including garden-style, mid-rise, and transit-oriented developments, primarily in secondary and tertiary markets across the Midwest.</w:t>
      </w:r>
    </w:p>
    <w:p>
      <w:r>
        <w:rPr>
          <w:color w:val="333333"/>
          <w:sz w:val="22"/>
        </w:rPr>
        <w:t>EDG is owned and controlled by two seasoned principals: Mr. Alexander Thorne (60% ownership interest) and Ms. Rebecca Sterling (40% ownership interest). Both principals maintain substantial personal net worths, each exceeding $25,000,000, with liquid assets in excess of $5,000,000, as independently verified through financial statements and third-party reports. This financial capacity is critical for underpinning their personal guarantees and providing potential unfunded capital commitments if required by the partnership agreement.</w:t>
      </w:r>
    </w:p>
    <w:p>
      <w:r>
        <w:rPr>
          <w:color w:val="333333"/>
          <w:sz w:val="22"/>
        </w:rPr>
        <w:t>EDG’s core competencies encompass all phases of the development lifecycle:</w:t>
      </w:r>
    </w:p>
    <w:p>
      <w:pPr>
        <w:pStyle w:val="ListBullet"/>
        <w:ind w:left="720"/>
      </w:pPr>
      <w:r>
        <w:rPr>
          <w:b/>
          <w:color w:val="1F4E78"/>
          <w:sz w:val="22"/>
        </w:rPr>
        <w:t>Site Acquisition &amp; Entitlement:</w:t>
      </w:r>
      <w:r>
        <w:rPr>
          <w:color w:val="333333"/>
          <w:sz w:val="22"/>
        </w:rPr>
        <w:t xml:space="preserve"> Demonstrated expertise in identifying undervalued land parcels and navigating complex zoning, permitting, and environmental regulatory landscapes in various jurisdictions, including securing PUD (Planned Unit Development) approvals.</w:t>
      </w:r>
    </w:p>
    <w:p>
      <w:pPr>
        <w:pStyle w:val="ListBullet"/>
        <w:ind w:left="720"/>
      </w:pPr>
      <w:r>
        <w:rPr>
          <w:b/>
          <w:color w:val="1F4E78"/>
          <w:sz w:val="22"/>
        </w:rPr>
        <w:t>Capital Structuring &amp; Investor Relations:</w:t>
      </w:r>
      <w:r>
        <w:rPr>
          <w:color w:val="333333"/>
          <w:sz w:val="22"/>
        </w:rPr>
        <w:t xml:space="preserve"> Proven ability to attract and manage institutional equity partners, secure construction financing, and manage complex debt-equity stacks.</w:t>
      </w:r>
    </w:p>
    <w:p>
      <w:pPr>
        <w:pStyle w:val="ListBullet"/>
        <w:ind w:left="720"/>
      </w:pPr>
      <w:r>
        <w:rPr>
          <w:b/>
          <w:color w:val="1F4E78"/>
          <w:sz w:val="22"/>
        </w:rPr>
        <w:t>Development Management:</w:t>
      </w:r>
      <w:r>
        <w:rPr>
          <w:color w:val="333333"/>
          <w:sz w:val="22"/>
        </w:rPr>
        <w:t xml:space="preserve"> Internal capabilities in design coordination, contractor selection, budget oversight, and project scheduling.</w:t>
      </w:r>
    </w:p>
    <w:p>
      <w:pPr>
        <w:pStyle w:val="ListBullet"/>
        <w:ind w:left="720"/>
      </w:pPr>
      <w:r>
        <w:rPr>
          <w:b/>
          <w:color w:val="1F4E78"/>
          <w:sz w:val="22"/>
        </w:rPr>
        <w:t>Asset Management:</w:t>
      </w:r>
      <w:r>
        <w:rPr>
          <w:color w:val="333333"/>
          <w:sz w:val="22"/>
        </w:rPr>
        <w:t xml:space="preserve"> Post-construction stabilization, property management oversight, and strategic disposition planning.</w:t>
      </w:r>
    </w:p>
    <w:p>
      <w:r>
        <w:rPr>
          <w:color w:val="333333"/>
          <w:sz w:val="22"/>
        </w:rPr>
        <w:t>For the So-Good Apartments project, EDG has taken the lead in initial site due diligence, acquisition of the 7.5-acre parcel located at 1420 Main Street, Springfield, IL, and securing the necessary entitlements, including conditional use permits and site plan approvals from the City of Springfield Zoning Board.</w:t>
      </w:r>
    </w:p>
    <w:p>
      <w:pPr>
        <w:pStyle w:val="Heading3"/>
      </w:pPr>
      <w:r>
        <w:rPr>
          <w:color w:val="2E75B6"/>
          <w:sz w:val="26"/>
        </w:rPr>
        <w:t>III. Project-Specific Entity: So-Good Apartments, LP (the "Borrower")</w:t>
      </w:r>
    </w:p>
    <w:p>
      <w:r>
        <w:rPr>
          <w:color w:val="333333"/>
          <w:sz w:val="22"/>
        </w:rPr>
        <w:t xml:space="preserve">The direct obligor for the senior construction debt facility and the ultimate owner of the So-Good Apartments project is </w:t>
      </w:r>
      <w:r>
        <w:rPr>
          <w:b/>
          <w:color w:val="1F4E78"/>
          <w:sz w:val="22"/>
        </w:rPr>
        <w:t>So-Good Apartments, LP</w:t>
      </w:r>
      <w:r>
        <w:rPr>
          <w:color w:val="333333"/>
          <w:sz w:val="22"/>
        </w:rPr>
        <w:t>, a Delaware limited partnership formed specifically for this development. This entity structure is standard for institutional-grade real estate developments, providing limited liability to its passive investors while centralizing management and accountability in its General Partner.</w:t>
      </w:r>
    </w:p>
    <w:p>
      <w:r>
        <w:rPr>
          <w:b/>
          <w:color w:val="1F4E78"/>
          <w:sz w:val="22"/>
        </w:rPr>
        <w:t>A. General Partner: So-Good GP, LLC</w:t>
      </w:r>
    </w:p>
    <w:p>
      <w:r>
        <w:rPr>
          <w:b/>
          <w:color w:val="1F4E78"/>
          <w:sz w:val="22"/>
        </w:rPr>
        <w:t>So-Good GP, LLC</w:t>
      </w:r>
      <w:r>
        <w:rPr>
          <w:color w:val="333333"/>
          <w:sz w:val="22"/>
        </w:rPr>
        <w:t>, a newly formed Delaware limited liability company, serves as the sole General Partner ("GP") of So-Good Apartments, LP. So-Good GP, LLC is a wholly-owned subsidiary of Evergreen Development Group, LLC. This direct ownership chain ensures that EDG's principals maintain absolute control and management authority over the project's day-to-day operations and strategic decisions, as stipulated in the Limited Partnership Agreement.</w:t>
      </w:r>
    </w:p>
    <w:p>
      <w:r>
        <w:rPr>
          <w:color w:val="333333"/>
          <w:sz w:val="22"/>
        </w:rPr>
        <w:t>The GP is vested with full management powers and is responsible for all project-level decisions, including but not limited to, construction oversight, budget adherence, draw requests, leasing strategy, and eventual disposition. As a General Partner in a limited partnership, So-Good GP, LLC bears unlimited liability for the debts and obligations of So-Good Apartments, LP, subject to customary non-recourse carve-outs in the senior debt documents and contractual limitations within the Limited Partnership Agreement. This unlimited liability at the GP level is a critical component of our underwriting analysis, as it provides a strong incentive for meticulous management and financial prudence.</w:t>
      </w:r>
    </w:p>
    <w:p>
      <w:r>
        <w:rPr>
          <w:b/>
          <w:color w:val="1F4E78"/>
          <w:sz w:val="22"/>
        </w:rPr>
        <w:t>B. Limited Partners: EDG &amp; Capital Partners Fund IV, LP</w:t>
      </w:r>
    </w:p>
    <w:p>
      <w:r>
        <w:rPr>
          <w:color w:val="333333"/>
          <w:sz w:val="22"/>
        </w:rPr>
        <w:t>The equity capital for So-Good Apartments, LP is contributed by its Limited Partners ("LPs"), who enjoy limited liability, generally capped at their capital contribution. The equity capitalization for the $65,000,000 project is structured with 35% equity ($22,750,000) and 65% senior debt ($42,250,000). The limited partnership interests are allocated as follows:</w:t>
      </w:r>
    </w:p>
    <w:p>
      <w:pPr>
        <w:pStyle w:val="ListBullet"/>
        <w:ind w:left="720"/>
      </w:pPr>
      <w:r>
        <w:rPr>
          <w:b/>
          <w:color w:val="1F4E78"/>
          <w:sz w:val="22"/>
        </w:rPr>
        <w:t>Evergreen Development Group, LLC (as an LP):</w:t>
      </w:r>
      <w:r>
        <w:rPr>
          <w:color w:val="333333"/>
          <w:sz w:val="22"/>
        </w:rPr>
        <w:t xml:space="preserve"> Holds a 20% limited partnership interest. EDG's capital contribution, inclusive of fees earned for development services and co-investment, totals $4,550,000. This significant co-investment underscores EDG's commitment and alignment of interests with the project's success.</w:t>
      </w:r>
    </w:p>
    <w:p>
      <w:pPr>
        <w:pStyle w:val="ListBullet"/>
        <w:ind w:left="720"/>
      </w:pPr>
      <w:r>
        <w:rPr>
          <w:b/>
          <w:color w:val="1F4E78"/>
          <w:sz w:val="22"/>
        </w:rPr>
        <w:t>Capital Partners Fund IV, LP ("CPF IV"):</w:t>
      </w:r>
      <w:r>
        <w:rPr>
          <w:color w:val="333333"/>
          <w:sz w:val="22"/>
        </w:rPr>
        <w:t xml:space="preserve"> Holds an 80% limited partnership interest, having contributed the majority of the project's equity, totaling $18,200,000. CPF IV’s role is further detailed below.</w:t>
      </w:r>
    </w:p>
    <w:p>
      <w:r>
        <w:rPr>
          <w:color w:val="333333"/>
          <w:sz w:val="22"/>
        </w:rPr>
        <w:t>This LP structure ensures that while the GP (So-Good GP, LLC) manages the project, the majority of the equity capital, and thus the majority economic interest, resides with sophisticated institutional investors, providing additional layers of governance and financial oversight.</w:t>
      </w:r>
    </w:p>
    <w:p>
      <w:pPr>
        <w:pStyle w:val="Heading3"/>
      </w:pPr>
      <w:r>
        <w:rPr>
          <w:color w:val="2E75B6"/>
          <w:sz w:val="26"/>
        </w:rPr>
        <w:t>IV. Joint Venture Equity Partner: Capital Partners Fund IV, LP ("CPF IV")</w:t>
      </w:r>
    </w:p>
    <w:p>
      <w:r>
        <w:rPr>
          <w:b/>
          <w:color w:val="1F4E78"/>
          <w:sz w:val="22"/>
        </w:rPr>
        <w:t>Capital Partners Fund IV, LP</w:t>
      </w:r>
      <w:r>
        <w:rPr>
          <w:color w:val="333333"/>
          <w:sz w:val="22"/>
        </w:rPr>
        <w:t>, a Delaware limited partnership, is a real estate private equity fund managed by Capital Partners Advisors, LLC, a registered investment advisor with over $15,000,000,000 in assets under management. CPF IV has a fund size of $1,500,000,000, targeting value-add and development opportunities across various asset classes within the U.S.</w:t>
      </w:r>
    </w:p>
    <w:p>
      <w:r>
        <w:rPr>
          <w:color w:val="333333"/>
          <w:sz w:val="22"/>
        </w:rPr>
        <w:t>CPF IV's involvement as the majority equity partner in So-Good Apartments, LP brings substantial institutional credibility, robust financial reserves, and a sophisticated approach to risk management. This partnership is governed by a comprehensive Limited Partnership Agreement and a separate Joint Venture Agreement (collectively, the "JV Agreements") between EDG and CPF IV. Key provisions of the JV Agreements, critical from an underwriting perspective, include:</w:t>
      </w:r>
    </w:p>
    <w:p>
      <w:pPr>
        <w:pStyle w:val="ListBullet"/>
        <w:ind w:left="720"/>
      </w:pPr>
      <w:r>
        <w:rPr>
          <w:b/>
          <w:color w:val="1F4E78"/>
          <w:sz w:val="22"/>
        </w:rPr>
        <w:t>Preferred Return &amp; Equity Waterfall:</w:t>
      </w:r>
      <w:r>
        <w:rPr>
          <w:color w:val="333333"/>
          <w:sz w:val="22"/>
        </w:rPr>
        <w:t xml:space="preserve"> CPF IV is entitled to a preferred return of 9.0% per annum on its invested capital, paid prior to any distributions to EDG. Subsequent distributions follow a clearly defined equity waterfall, providing alignment of interests for outperformance.</w:t>
      </w:r>
    </w:p>
    <w:p>
      <w:pPr>
        <w:pStyle w:val="ListBullet"/>
        <w:ind w:left="720"/>
      </w:pPr>
      <w:r>
        <w:rPr>
          <w:b/>
          <w:color w:val="1F4E78"/>
          <w:sz w:val="22"/>
        </w:rPr>
        <w:t>Consent Rights:</w:t>
      </w:r>
      <w:r>
        <w:rPr>
          <w:color w:val="333333"/>
          <w:sz w:val="22"/>
        </w:rPr>
        <w:t xml:space="preserve"> CPF IV retains significant consent rights over major project decisions, including but not limited to, changes to the approved budget exceeding a 5% variance, material modifications to the construction schedule, selection of major contractors, refinancing terms, and any disposition of the asset. These rights ensure that a sophisticated, well-capitalized entity oversees critical project milestones, mitigating unilateral decision-making risk by the GP.</w:t>
      </w:r>
    </w:p>
    <w:p>
      <w:pPr>
        <w:pStyle w:val="ListBullet"/>
        <w:ind w:left="720"/>
      </w:pPr>
      <w:r>
        <w:rPr>
          <w:b/>
          <w:color w:val="1F4E78"/>
          <w:sz w:val="22"/>
        </w:rPr>
        <w:t>Capital Call Mechanisms:</w:t>
      </w:r>
      <w:r>
        <w:rPr>
          <w:color w:val="333333"/>
          <w:sz w:val="22"/>
        </w:rPr>
        <w:t xml:space="preserve"> The JV Agreements contain explicit provisions for mandatory capital calls to cover cost overruns, operating deficits, or other unexpected expenses. Both EDG (as LP) and CPF IV are obligated to contribute their pro rata share. Failure to meet a capital call triggers severe penalties, including dilution of ownership interests, which provides strong incentive for timely contributions.</w:t>
      </w:r>
    </w:p>
    <w:p>
      <w:pPr>
        <w:pStyle w:val="ListBullet"/>
        <w:ind w:left="720"/>
      </w:pPr>
      <w:r>
        <w:rPr>
          <w:b/>
          <w:color w:val="1F4E78"/>
          <w:sz w:val="22"/>
        </w:rPr>
        <w:t>Buy/Sell Provisions:</w:t>
      </w:r>
      <w:r>
        <w:rPr>
          <w:color w:val="333333"/>
          <w:sz w:val="22"/>
        </w:rPr>
        <w:t xml:space="preserve"> Standard buy/sell and drag-along/tag-along rights are incorporated to facilitate orderly exits and resolve potential impasses, reducing the risk of protracted partnership disputes that could jeopardize the project's stability.</w:t>
      </w:r>
    </w:p>
    <w:p>
      <w:pPr>
        <w:pStyle w:val="ListBullet"/>
        <w:ind w:left="720"/>
      </w:pPr>
      <w:r>
        <w:rPr>
          <w:b/>
          <w:color w:val="1F4E78"/>
          <w:sz w:val="22"/>
        </w:rPr>
        <w:t>Development Fee Structure:</w:t>
      </w:r>
      <w:r>
        <w:rPr>
          <w:color w:val="333333"/>
          <w:sz w:val="22"/>
        </w:rPr>
        <w:t xml:space="preserve"> EDG is entitled to a development fee totaling 3.0% of the total project cost, payable in tranches throughout the development lifecycle, with a portion deferred to stabilization, thereby incentivizing project completion and successful lease-up.</w:t>
      </w:r>
    </w:p>
    <w:p>
      <w:r>
        <w:rPr>
          <w:color w:val="333333"/>
          <w:sz w:val="22"/>
        </w:rPr>
        <w:t>The partnership between EDG and CPF IV represents a strategic alignment of development expertise with institutional capital, a structure frequently favored by senior lenders due to its enhanced financial capacity and governance framework.</w:t>
      </w:r>
    </w:p>
    <w:p>
      <w:pPr>
        <w:pStyle w:val="Heading3"/>
      </w:pPr>
      <w:r>
        <w:rPr>
          <w:color w:val="2E75B6"/>
          <w:sz w:val="26"/>
        </w:rPr>
        <w:t>V. Key Principals and Management Structure</w:t>
      </w:r>
    </w:p>
    <w:p>
      <w:r>
        <w:rPr>
          <w:color w:val="333333"/>
          <w:sz w:val="22"/>
        </w:rPr>
        <w:t>The operational execution of the So-Good Apartments project is directly overseen by the principals of EDG and its affiliated entities:</w:t>
      </w:r>
    </w:p>
    <w:p>
      <w:pPr>
        <w:pStyle w:val="ListBullet"/>
        <w:ind w:left="720"/>
      </w:pPr>
      <w:r>
        <w:rPr>
          <w:b/>
          <w:color w:val="1F4E78"/>
          <w:sz w:val="22"/>
        </w:rPr>
        <w:t>Mr. Alexander Thorne, CEO, Evergreen Development Group, LLC:</w:t>
      </w:r>
      <w:r>
        <w:rPr>
          <w:color w:val="333333"/>
          <w:sz w:val="22"/>
        </w:rPr>
        <w:t xml:space="preserve"> With over 25 years of experience in real estate development, Mr. Thorne is responsible for overall strategic direction, investor relations, and high-level project oversight. His personal guaranty for completion and carry obligations is a cornerstone of the senior debt facility.</w:t>
      </w:r>
    </w:p>
    <w:p>
      <w:pPr>
        <w:pStyle w:val="ListBullet"/>
        <w:ind w:left="720"/>
      </w:pPr>
      <w:r>
        <w:rPr>
          <w:b/>
          <w:color w:val="1F4E78"/>
          <w:sz w:val="22"/>
        </w:rPr>
        <w:t>Ms. Rebecca Sterling, CFO, Evergreen Development Group, LLC:</w:t>
      </w:r>
      <w:r>
        <w:rPr>
          <w:color w:val="333333"/>
          <w:sz w:val="22"/>
        </w:rPr>
        <w:t xml:space="preserve"> Ms. Sterling, possessing 20 years of experience in real estate finance and capital markets, manages all financial aspects of EDG and its projects, including debt procurement, equity structuring, and financial reporting. She provides a co-guaranty for the non-recourse carve-outs and environmental indemnities.</w:t>
      </w:r>
    </w:p>
    <w:p>
      <w:pPr>
        <w:pStyle w:val="ListBullet"/>
        <w:ind w:left="720"/>
      </w:pPr>
      <w:r>
        <w:rPr>
          <w:b/>
          <w:color w:val="1F4E78"/>
          <w:sz w:val="22"/>
        </w:rPr>
        <w:t>Mr. Marcus Chen, VP of Development, Evergreen Development Group, LLC:</w:t>
      </w:r>
      <w:r>
        <w:rPr>
          <w:color w:val="333333"/>
          <w:sz w:val="22"/>
        </w:rPr>
        <w:t xml:space="preserve"> Mr. Chen brings 15 years of hands-on construction and project management experience. He is directly responsible for the day-to-day oversight of the construction process, contractor management, and adherence to the project schedule and budget.</w:t>
      </w:r>
    </w:p>
    <w:p>
      <w:r>
        <w:rPr>
          <w:b/>
          <w:color w:val="1F4E78"/>
          <w:sz w:val="22"/>
        </w:rPr>
        <w:t>A. Property Management: Evergreen Property Management, LLC</w:t>
      </w:r>
    </w:p>
    <w:p>
      <w:r>
        <w:rPr>
          <w:color w:val="333333"/>
          <w:sz w:val="22"/>
        </w:rPr>
        <w:t xml:space="preserve">Upon completion and during the lease-up and stabilization phases, the property will be managed by </w:t>
      </w:r>
      <w:r>
        <w:rPr>
          <w:b/>
          <w:color w:val="1F4E78"/>
          <w:sz w:val="22"/>
        </w:rPr>
        <w:t>Evergreen Property Management, LLC ("EPM")</w:t>
      </w:r>
      <w:r>
        <w:rPr>
          <w:color w:val="333333"/>
          <w:sz w:val="22"/>
        </w:rPr>
        <w:t>, a wholly-owned subsidiary of EDG. EPM currently manages a portfolio of 2,500 units across five states, demonstrating proven expertise in operational efficiency, resident retention, and expense control within the multi-family sector. EPM’s management agreement includes industry-standard performance metrics and termination clauses, allowing for replacement if performance benchmarks are not met, which is a critical lender protection.</w:t>
      </w:r>
    </w:p>
    <w:p>
      <w:r>
        <w:rPr>
          <w:b/>
          <w:color w:val="1F4E78"/>
          <w:sz w:val="22"/>
        </w:rPr>
        <w:t>B. Construction Management: Evergreen Construction Services, LLC</w:t>
      </w:r>
    </w:p>
    <w:p>
      <w:r>
        <w:rPr>
          <w:b/>
          <w:color w:val="1F4E78"/>
          <w:sz w:val="22"/>
        </w:rPr>
        <w:t>Evergreen Construction Services, LLC ("ECS")</w:t>
      </w:r>
      <w:r>
        <w:rPr>
          <w:color w:val="333333"/>
          <w:sz w:val="22"/>
        </w:rPr>
        <w:t>, another wholly-owned subsidiary of EDG, will act as the general contractor for the So-Good Apartments project. ECS possesses an Illinois General Contractor's License (License No. GC-IL-123456) and has successfully delivered 10 multi-family projects totaling $450,000,000 in construction value over the past decade. The construction contract is structured as a Guaranteed Maximum Price (GMP) contract of $48,000,000, with a 5% contingency, ensuring cost certainty for the lender and minimizing direct construction cost overrun risk. ECS's financial strength, as a direct affiliate of EDG, reduces counterparty risk typically associated with third-party contractors.</w:t>
      </w:r>
    </w:p>
    <w:p>
      <w:pPr>
        <w:pStyle w:val="Heading3"/>
      </w:pPr>
      <w:r>
        <w:rPr>
          <w:color w:val="2E75B6"/>
          <w:sz w:val="26"/>
        </w:rPr>
        <w:t>VI. Legal &amp; Governance Framework</w:t>
      </w:r>
    </w:p>
    <w:p>
      <w:r>
        <w:rPr>
          <w:color w:val="333333"/>
          <w:sz w:val="22"/>
        </w:rPr>
        <w:t>The intertwined legal agreements governing this sponsor structure are robust and designed to protect all parties, including the senior lender:</w:t>
      </w:r>
    </w:p>
    <w:p>
      <w:pPr>
        <w:pStyle w:val="ListBullet"/>
        <w:ind w:left="720"/>
      </w:pPr>
      <w:r>
        <w:rPr>
          <w:b/>
          <w:color w:val="1F4E78"/>
          <w:sz w:val="22"/>
        </w:rPr>
        <w:t>Limited Partnership Agreement (So-Good Apartments, LP):</w:t>
      </w:r>
      <w:r>
        <w:rPr>
          <w:color w:val="333333"/>
          <w:sz w:val="22"/>
        </w:rPr>
        <w:t xml:space="preserve"> Defines the rights, responsibilities, and liabilities of the GP and LPs. Crucially, it outlines capital contribution obligations, distribution waterfalls, governance rights (especially CPF IV's consent rights), and dispute resolution mechanisms.</w:t>
      </w:r>
    </w:p>
    <w:p>
      <w:pPr>
        <w:pStyle w:val="ListBullet"/>
        <w:ind w:left="720"/>
      </w:pPr>
      <w:r>
        <w:rPr>
          <w:b/>
          <w:color w:val="1F4E78"/>
          <w:sz w:val="22"/>
        </w:rPr>
        <w:t>Operating Agreement (So-Good GP, LLC):</w:t>
      </w:r>
      <w:r>
        <w:rPr>
          <w:color w:val="333333"/>
          <w:sz w:val="22"/>
        </w:rPr>
        <w:t xml:space="preserve"> Governs the internal operations and decision-making of the General Partner, affirming EDG's ultimate control.</w:t>
      </w:r>
    </w:p>
    <w:p>
      <w:pPr>
        <w:pStyle w:val="ListBullet"/>
        <w:ind w:left="720"/>
      </w:pPr>
      <w:r>
        <w:rPr>
          <w:b/>
          <w:color w:val="1F4E78"/>
          <w:sz w:val="22"/>
        </w:rPr>
        <w:t>Operating Agreements (Evergreen Development Group, LLC, Evergreen Property Management, LLC, Evergreen Construction Services, LLC):</w:t>
      </w:r>
      <w:r>
        <w:rPr>
          <w:color w:val="333333"/>
          <w:sz w:val="22"/>
        </w:rPr>
        <w:t xml:space="preserve"> Establish the internal governance of the primary sponsor and its operating subsidiaries, confirming the hierarchy and accountability of the key principals.</w:t>
      </w:r>
    </w:p>
    <w:p>
      <w:pPr>
        <w:pStyle w:val="ListBullet"/>
        <w:ind w:left="720"/>
      </w:pPr>
      <w:r>
        <w:rPr>
          <w:b/>
          <w:color w:val="1F4E78"/>
          <w:sz w:val="22"/>
        </w:rPr>
        <w:t>Senior Debt Guarantees:</w:t>
      </w:r>
      <w:r>
        <w:rPr>
          <w:color w:val="333333"/>
          <w:sz w:val="22"/>
        </w:rPr>
        <w:t xml:space="preserve"> Mr. Alexander Thorne and Ms. Rebecca Sterling will provide a full completion guaranty for the project, an interest and operating carry guaranty covering debt service and operating deficits through stabilization (defined as 90% occupancy for 90 days at pro-forma rents), and standard non-recourse carve-out guaranties (e.g., for fraud, misapplication of funds, environmental contamination, and bankruptcy remote provisions). These personal guaranties, backed by the principals’ significant net worth and liquidity, represent substantial credit enhancement for the senior loan.</w:t>
      </w:r>
    </w:p>
    <w:p>
      <w:pPr>
        <w:pStyle w:val="ListBullet"/>
        <w:ind w:left="720"/>
      </w:pPr>
      <w:r>
        <w:rPr>
          <w:b/>
          <w:color w:val="1F4E78"/>
          <w:sz w:val="22"/>
        </w:rPr>
        <w:t>Indemnification Provisions:</w:t>
      </w:r>
      <w:r>
        <w:rPr>
          <w:color w:val="333333"/>
          <w:sz w:val="22"/>
        </w:rPr>
        <w:t xml:space="preserve"> The JV Agreements include mutual indemnification clauses, protecting the General Partner and Limited Partners from certain liabilities arising from the actions of other parties, subject to gross negligence or willful misconduct.</w:t>
      </w:r>
    </w:p>
    <w:p>
      <w:pPr>
        <w:pStyle w:val="Heading3"/>
      </w:pPr>
      <w:r>
        <w:rPr>
          <w:color w:val="2E75B6"/>
          <w:sz w:val="26"/>
        </w:rPr>
        <w:t>VII. Underwriting Assessment and Risk Mitigation</w:t>
      </w:r>
    </w:p>
    <w:p>
      <w:r>
        <w:rPr>
          <w:color w:val="333333"/>
          <w:sz w:val="22"/>
        </w:rPr>
        <w:t>The sponsor organizational structure for So-Good Apartments presents several key strengths from an underwriting perspective:</w:t>
      </w:r>
    </w:p>
    <w:p>
      <w:pPr>
        <w:pStyle w:val="ListBullet"/>
        <w:ind w:left="720"/>
      </w:pPr>
      <w:r>
        <w:rPr>
          <w:b/>
          <w:color w:val="1F4E78"/>
          <w:sz w:val="22"/>
        </w:rPr>
        <w:t>Experienced &amp; Financially Capable Principals:</w:t>
      </w:r>
      <w:r>
        <w:rPr>
          <w:color w:val="333333"/>
          <w:sz w:val="22"/>
        </w:rPr>
        <w:t xml:space="preserve"> Mr. Thorne and Ms. Sterling possess a proven track record, substantial personal wealth, and direct involvement, significantly mitigating key-person risk and providing credible recourse.</w:t>
      </w:r>
    </w:p>
    <w:p>
      <w:pPr>
        <w:pStyle w:val="ListBullet"/>
        <w:ind w:left="720"/>
      </w:pPr>
      <w:r>
        <w:rPr>
          <w:b/>
          <w:color w:val="1F4E78"/>
          <w:sz w:val="22"/>
        </w:rPr>
        <w:t>Institutional Equity Partner:</w:t>
      </w:r>
      <w:r>
        <w:rPr>
          <w:color w:val="333333"/>
          <w:sz w:val="22"/>
        </w:rPr>
        <w:t xml:space="preserve"> CPF IV's participation provides deep financial pockets, sophisticated governance, stringent oversight via consent rights, and a clear capital call mechanism, enhancing project resilience to unforeseen challenges.</w:t>
      </w:r>
    </w:p>
    <w:p>
      <w:pPr>
        <w:pStyle w:val="ListBullet"/>
        <w:ind w:left="720"/>
      </w:pPr>
      <w:r>
        <w:rPr>
          <w:b/>
          <w:color w:val="1F4E78"/>
          <w:sz w:val="22"/>
        </w:rPr>
        <w:t>Integrated Operating Subsidiaries:</w:t>
      </w:r>
      <w:r>
        <w:rPr>
          <w:color w:val="333333"/>
          <w:sz w:val="22"/>
        </w:rPr>
        <w:t xml:space="preserve"> The use of wholly-owned property management (EPM) and construction management (ECS) subsidiaries ensures direct control over critical operational aspects, fostering efficiency and aligning incentives across the entire development and operational chain. This vertical integration reduces reliance on external third parties who may have divergent interests.</w:t>
      </w:r>
    </w:p>
    <w:p>
      <w:pPr>
        <w:pStyle w:val="ListBullet"/>
        <w:ind w:left="720"/>
      </w:pPr>
      <w:r>
        <w:rPr>
          <w:b/>
          <w:color w:val="1F4E78"/>
          <w:sz w:val="22"/>
        </w:rPr>
        <w:t>Clear Legal Framework:</w:t>
      </w:r>
      <w:r>
        <w:rPr>
          <w:color w:val="333333"/>
          <w:sz w:val="22"/>
        </w:rPr>
        <w:t xml:space="preserve"> The comprehensive suite of legal agreements clearly defines roles, responsibilities, and liability, providing a robust contractual basis for enforceability and dispute resolution.</w:t>
      </w:r>
    </w:p>
    <w:p>
      <w:pPr>
        <w:pStyle w:val="ListBullet"/>
        <w:ind w:left="720"/>
      </w:pPr>
      <w:r>
        <w:rPr>
          <w:b/>
          <w:color w:val="1F4E78"/>
          <w:sz w:val="22"/>
        </w:rPr>
        <w:t>Project-Specific Entity:</w:t>
      </w:r>
      <w:r>
        <w:rPr>
          <w:color w:val="333333"/>
          <w:sz w:val="22"/>
        </w:rPr>
        <w:t xml:space="preserve"> The formation of So-Good Apartments, LP as the Borrower provides appropriate legal separation, ring-fencing project-specific liabilities while allowing for targeted recourse at the GP and guarantor levels.</w:t>
      </w:r>
    </w:p>
    <w:p>
      <w:r>
        <w:rPr>
          <w:color w:val="333333"/>
          <w:sz w:val="22"/>
        </w:rPr>
        <w:t>Identified risks, though substantially mitigated, include potential for minor partnership disagreements, though the robust JV Agreement is designed to address these. Market absorption risk for new Class A multi-family product in Springfield, IL, while modeled extensively, remains a factor, but is partially offset by the principals' carry guaranty through stabilization.</w:t>
      </w:r>
    </w:p>
    <w:p>
      <w:pPr>
        <w:pStyle w:val="Heading3"/>
      </w:pPr>
      <w:r>
        <w:rPr>
          <w:color w:val="2E75B6"/>
          <w:sz w:val="26"/>
        </w:rPr>
        <w:t>VIII. Conclusion</w:t>
      </w:r>
    </w:p>
    <w:p>
      <w:r>
        <w:rPr>
          <w:color w:val="333333"/>
          <w:sz w:val="22"/>
        </w:rPr>
        <w:t>Based on our thorough analysis, the sponsor organizational structure established for the So-Good Apartments development is highly robust, professionally structured, and demonstrates a sophisticated approach to real estate development. The combination of EDG's proven development expertise, the deep financial capacity and governance of CPF IV, and the integrated operational subsidiaries creates a powerful and well-aligned sponsorship team. The defined legal framework, including explicit recourse provisions and personal guaranties from financially substantial principals, adequately addresses key underwriting concerns.</w:t>
      </w:r>
    </w:p>
    <w:p>
      <w:r>
        <w:rPr>
          <w:color w:val="333333"/>
          <w:sz w:val="22"/>
        </w:rPr>
        <w:t>We recommend proceeding with the proposed senior construction debt facility, contingent upon the final execution of all partnership agreements, debt documents, and guaranties in forms consistent with the outlined structure and our standard legal requirements. This structure provides a sound basis for successful project execution and debt service coverage.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