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F4E78"/>
          <w:sz w:val="56"/>
        </w:rPr>
        <w:t>TERM SHEET</w:t>
      </w:r>
    </w:p>
    <w:p>
      <w:pPr>
        <w:jc w:val="center"/>
      </w:pPr>
      <w:r>
        <w:rPr>
          <w:color w:val="2E75B6"/>
          <w:sz w:val="32"/>
        </w:rPr>
        <w:t>So-Good Apartments JV LLC</w:t>
      </w:r>
    </w:p>
    <w:p>
      <w:pPr>
        <w:jc w:val="center"/>
      </w:pPr>
      <w:r>
        <w:rPr>
          <w:color w:val="707070"/>
          <w:sz w:val="24"/>
        </w:rPr>
        <w:t>Springfield, Illinois</w:t>
      </w:r>
    </w:p>
    <w:p/>
    <w:p>
      <w:pPr>
        <w:jc w:val="center"/>
      </w:pPr>
      <w:r>
        <w:rPr>
          <w:color w:val="2E75B6"/>
          <w:sz w:val="20"/>
        </w:rPr>
        <w:t>━━━━━━━━━━━━━━━━━━━━━━━━━━━━━━━━━━━━━━━━━━━━━━━━━━</w:t>
      </w:r>
    </w:p>
    <w:p/>
    <w:p>
      <w:pPr>
        <w:jc w:val="center"/>
      </w:pPr>
      <w:r>
        <w:rPr>
          <w:i/>
          <w:color w:val="999999"/>
          <w:sz w:val="18"/>
        </w:rPr>
        <w:t>CONFIDENTIAL — FOR AUTHORIZED USE ONLY</w:t>
      </w:r>
    </w:p>
    <w:p>
      <w:r>
        <w:br w:type="page"/>
      </w:r>
    </w:p>
    <w:p>
      <w:pPr>
        <w:pStyle w:val="Heading1"/>
      </w:pPr>
      <w:r>
        <w:rPr>
          <w:color w:val="1F4E78"/>
          <w:sz w:val="36"/>
        </w:rPr>
        <w:t>Term Sheet: Construction Loan for So-Good Apartments</w:t>
      </w:r>
    </w:p>
    <w:p>
      <w:r>
        <w:rPr>
          <w:b/>
          <w:color w:val="1F4E78"/>
          <w:sz w:val="22"/>
        </w:rPr>
        <w:t>Date:</w:t>
      </w:r>
      <w:r>
        <w:rPr>
          <w:color w:val="333333"/>
          <w:sz w:val="22"/>
        </w:rPr>
        <w:t xml:space="preserve"> October 26, 2023</w:t>
      </w:r>
    </w:p>
    <w:p>
      <w:r>
        <w:rPr>
          <w:b/>
          <w:color w:val="1F4E78"/>
          <w:sz w:val="22"/>
        </w:rPr>
        <w:t>Confidentiality Notice:</w:t>
      </w:r>
      <w:r>
        <w:rPr>
          <w:color w:val="333333"/>
          <w:sz w:val="22"/>
        </w:rPr>
        <w:t xml:space="preserve"> This Term Sheet and its contents are strictly confidential and are provided solely for the recipient's internal evaluation purposes. No disclosure of this Term Sheet or its contents to any third party (other than the recipient's internal professional advisors who have agreed to be bound by similar confidentiality obligations) is permitted without the prior written consent of Apex Commercial Lending Partners, LLC.</w:t>
      </w:r>
    </w:p>
    <w:p>
      <w:pPr>
        <w:pStyle w:val="Heading2"/>
      </w:pPr>
      <w:r>
        <w:rPr>
          <w:color w:val="2E75B6"/>
          <w:sz w:val="30"/>
        </w:rPr>
        <w:t>I. Parties &amp; Project Overview</w:t>
      </w:r>
    </w:p>
    <w:p>
      <w:r>
        <w:rPr>
          <w:b/>
          <w:color w:val="1F4E78"/>
          <w:sz w:val="22"/>
        </w:rPr>
        <w:t>Lender:</w:t>
      </w:r>
      <w:r>
        <w:rPr>
          <w:color w:val="333333"/>
          <w:sz w:val="22"/>
        </w:rPr>
        <w:t xml:space="preserve"> Apex Commercial Lending Partners, LLC (hereinafter, "Lender")</w:t>
      </w:r>
    </w:p>
    <w:p>
      <w:r>
        <w:rPr>
          <w:color w:val="333333"/>
          <w:sz w:val="22"/>
        </w:rPr>
        <w:t>Address: 750 Lexington Avenue, Suite 1500, New York, NY 10022</w:t>
      </w:r>
    </w:p>
    <w:p>
      <w:r>
        <w:rPr>
          <w:b/>
          <w:color w:val="1F4E78"/>
          <w:sz w:val="22"/>
        </w:rPr>
        <w:t>Borrower:</w:t>
      </w:r>
      <w:r>
        <w:rPr>
          <w:color w:val="333333"/>
          <w:sz w:val="22"/>
        </w:rPr>
        <w:t xml:space="preserve"> Evergreen Development Group, LLC (hereinafter, "Borrower")</w:t>
      </w:r>
    </w:p>
    <w:p>
      <w:r>
        <w:rPr>
          <w:color w:val="333333"/>
          <w:sz w:val="22"/>
        </w:rPr>
        <w:t>Address: 200 West Madison Street, Suite 300, Chicago, IL 60606</w:t>
      </w:r>
    </w:p>
    <w:p>
      <w:r>
        <w:rPr>
          <w:b/>
          <w:color w:val="1F4E78"/>
          <w:sz w:val="22"/>
        </w:rPr>
        <w:t>Guarantor(s):</w:t>
      </w:r>
      <w:r>
        <w:rPr>
          <w:color w:val="333333"/>
          <w:sz w:val="22"/>
        </w:rPr>
        <w:t xml:space="preserve"> Arthur P. Sterling, an individual (hereinafter, "Guarantor")</w:t>
      </w:r>
    </w:p>
    <w:p>
      <w:r>
        <w:rPr>
          <w:b/>
          <w:color w:val="1F4E78"/>
          <w:sz w:val="22"/>
        </w:rPr>
        <w:t>Project Name:</w:t>
      </w:r>
      <w:r>
        <w:rPr>
          <w:color w:val="333333"/>
          <w:sz w:val="22"/>
        </w:rPr>
        <w:t xml:space="preserve"> So-Good Apartments</w:t>
      </w:r>
    </w:p>
    <w:p>
      <w:r>
        <w:rPr>
          <w:b/>
          <w:color w:val="1F4E78"/>
          <w:sz w:val="22"/>
        </w:rPr>
        <w:t>Project Location:</w:t>
      </w:r>
      <w:r>
        <w:rPr>
          <w:color w:val="333333"/>
          <w:sz w:val="22"/>
        </w:rPr>
        <w:t xml:space="preserve"> 1700 North Grand Avenue East, Springfield, Sangamon County, Illinois 62702 (the "Property"). The Property encompasses approximately 12.5 acres of undeveloped land zoned for multi-family residential use.</w:t>
      </w:r>
    </w:p>
    <w:p>
      <w:r>
        <w:rPr>
          <w:b/>
          <w:color w:val="1F4E78"/>
          <w:sz w:val="22"/>
        </w:rPr>
        <w:t>Project Description:</w:t>
      </w:r>
      <w:r>
        <w:rPr>
          <w:color w:val="333333"/>
          <w:sz w:val="22"/>
        </w:rPr>
        <w:t xml:space="preserve"> Development of a Class A, institutional-quality multi-family apartment community consisting of 250 units across five (5) four-story garden-style buildings. The unit mix will comprise 100 one-bedroom units (avg. 750 SF), 125 two-bedroom units (avg. 1,050 SF), and 25 three-bedroom units (avg. 1,300 SF). Total net rentable area will be approximately 242,500 square feet. Project amenities will include a 6,000 SF clubhouse with a fitness center, co-working lounge, resident amenity kitchen, and parcel lockers; an outdoor swimming pool; dog park; and 400 surface parking spaces. The Project is designed to achieve LEED Silver certification.</w:t>
      </w:r>
    </w:p>
    <w:p>
      <w:pPr>
        <w:pStyle w:val="Heading2"/>
      </w:pPr>
      <w:r>
        <w:rPr>
          <w:color w:val="2E75B6"/>
          <w:sz w:val="30"/>
        </w:rPr>
        <w:t>II. Financing Summary</w:t>
      </w:r>
    </w:p>
    <w:p>
      <w:r>
        <w:rPr>
          <w:b/>
          <w:color w:val="1F4E78"/>
          <w:sz w:val="22"/>
        </w:rPr>
        <w:t>Facility Type:</w:t>
      </w:r>
      <w:r>
        <w:rPr>
          <w:color w:val="333333"/>
          <w:sz w:val="22"/>
        </w:rPr>
        <w:t xml:space="preserve"> Senior Secured Construction Loan (hereinafter, "Loan")</w:t>
      </w:r>
    </w:p>
    <w:p>
      <w:r>
        <w:rPr>
          <w:b/>
          <w:color w:val="1F4E78"/>
          <w:sz w:val="22"/>
        </w:rPr>
        <w:t>Loan Amount:</w:t>
      </w:r>
      <w:r>
        <w:rPr>
          <w:color w:val="333333"/>
          <w:sz w:val="22"/>
        </w:rPr>
        <w:t xml:space="preserve"> Up to Forty-Five Million Five Hundred Thousand Dollars ($45,500,000.00)</w:t>
      </w:r>
    </w:p>
    <w:p>
      <w:r>
        <w:rPr>
          <w:b/>
          <w:color w:val="1F4E78"/>
          <w:sz w:val="22"/>
        </w:rPr>
        <w:t>Purpose:</w:t>
      </w:r>
      <w:r>
        <w:rPr>
          <w:color w:val="333333"/>
          <w:sz w:val="22"/>
        </w:rPr>
        <w:t xml:space="preserve"> To finance a portion of the eligible hard and soft costs associated with the acquisition, development, and construction of the So-Good Apartments Project.</w:t>
      </w:r>
    </w:p>
    <w:p>
      <w:r>
        <w:rPr>
          <w:b/>
          <w:color w:val="1F4E78"/>
          <w:sz w:val="22"/>
        </w:rPr>
        <w:t>Total Development Cost (TDC):</w:t>
      </w:r>
      <w:r>
        <w:rPr>
          <w:color w:val="333333"/>
          <w:sz w:val="22"/>
        </w:rPr>
        <w:t xml:space="preserve"> Sixty-Five Million Dollars ($65,000,000.00), as detailed in the Lender-approved Project Budget.</w:t>
      </w:r>
    </w:p>
    <w:p>
      <w:r>
        <w:rPr>
          <w:b/>
          <w:color w:val="1F4E78"/>
          <w:sz w:val="22"/>
        </w:rPr>
        <w:t>Borrower Equity Contribution:</w:t>
      </w:r>
      <w:r>
        <w:rPr>
          <w:color w:val="333333"/>
          <w:sz w:val="22"/>
        </w:rPr>
        <w:t xml:space="preserve"> Nineteen Million Five Hundred Thousand Dollars ($19,500,000.00) in cash equity, to be funded on a pro-rata basis with Loan proceeds or prior to any Loan funding, as required by Lender, and documented by independent third-party verification acceptable to Lender.</w:t>
      </w:r>
    </w:p>
    <w:p>
      <w:pPr>
        <w:pStyle w:val="Heading2"/>
      </w:pPr>
      <w:r>
        <w:rPr>
          <w:color w:val="2E75B6"/>
          <w:sz w:val="30"/>
        </w:rPr>
        <w:t>III. Key Commercial Terms</w:t>
      </w:r>
    </w:p>
    <w:p>
      <w:r>
        <w:rPr>
          <w:b/>
          <w:color w:val="1F4E78"/>
          <w:sz w:val="22"/>
        </w:rPr>
        <w:t>Loan Term:</w:t>
      </w:r>
      <w:r>
        <w:rPr>
          <w:color w:val="333333"/>
          <w:sz w:val="22"/>
        </w:rPr>
        <w:t xml:space="preserve"> Thirty (30) months from the initial closing date (the "Construction Period"), with two (2) six-month extension options, exercisable by Borrower subject to (a) no Event of Default existing, (b) payment of an extension fee equal to 0.25% of the then-outstanding principal balance for each extension, and (c) satisfaction of all other customary extension conditions.</w:t>
      </w:r>
    </w:p>
    <w:p>
      <w:r>
        <w:rPr>
          <w:b/>
          <w:color w:val="1F4E78"/>
          <w:sz w:val="22"/>
        </w:rPr>
        <w:t>Interest Rate:</w:t>
      </w:r>
      <w:r>
        <w:rPr>
          <w:color w:val="333333"/>
          <w:sz w:val="22"/>
        </w:rPr>
        <w:t xml:space="preserve"> Daily Simple SOFR (Secured Overnight Financing Rate) plus a margin of three hundred (300) basis points (3.00%) per annum, with a SOFR floor of fifty (50) basis points (0.50%). Interest shall be calculated on the actual number of days elapsed based on a 360-day year and shall be payable monthly in arrears. During the Construction Period, interest may be capitalized from Loan proceeds, subject to the availability of funds and the maintenance of a sufficient Interest Reserve account, if applicable.</w:t>
      </w:r>
    </w:p>
    <w:p>
      <w:r>
        <w:rPr>
          <w:b/>
          <w:color w:val="1F4E78"/>
          <w:sz w:val="22"/>
        </w:rPr>
        <w:t>Amortization:</w:t>
      </w:r>
      <w:r>
        <w:rPr>
          <w:color w:val="333333"/>
          <w:sz w:val="22"/>
        </w:rPr>
        <w:t xml:space="preserve"> Interest-only payments during the Construction Period. Upon the earlier of (i) Project stabilization (as defined below) or (ii) the expiration of the Construction Period (including any extensions), the Loan shall convert to a fully amortizing mini-perm loan over a thirty (30) year schedule for the remaining term, provided that all stabilization criteria are met and Lender exercises its sole discretion to convert the Loan.</w:t>
      </w:r>
    </w:p>
    <w:p>
      <w:r>
        <w:rPr>
          <w:b/>
          <w:color w:val="1F4E78"/>
          <w:sz w:val="22"/>
        </w:rPr>
        <w:t>Loan-to-Cost (LTC):</w:t>
      </w:r>
      <w:r>
        <w:rPr>
          <w:color w:val="333333"/>
          <w:sz w:val="22"/>
        </w:rPr>
        <w:t xml:space="preserve"> Not to exceed seventy percent (70%) of the Lender-approved TDC.</w:t>
      </w:r>
    </w:p>
    <w:p>
      <w:r>
        <w:rPr>
          <w:b/>
          <w:color w:val="1F4E78"/>
          <w:sz w:val="22"/>
        </w:rPr>
        <w:t>Loan-to-Stabilized Value (LTV):</w:t>
      </w:r>
      <w:r>
        <w:rPr>
          <w:color w:val="333333"/>
          <w:sz w:val="22"/>
        </w:rPr>
        <w:t xml:space="preserve"> Not to exceed sixty percent (60%) of the "as-stabilized" appraised value, as determined by a Lender-approved MAI appraiser.</w:t>
      </w:r>
    </w:p>
    <w:p>
      <w:r>
        <w:rPr>
          <w:b/>
          <w:color w:val="1F4E78"/>
          <w:sz w:val="22"/>
        </w:rPr>
        <w:t>Debt Service Coverage Ratio (DSCR):</w:t>
      </w:r>
      <w:r>
        <w:rPr>
          <w:color w:val="333333"/>
          <w:sz w:val="22"/>
        </w:rPr>
        <w:t xml:space="preserve"> At Project stabilization, the minimum DSCR must be no less than 1.25x based on the trailing twelve (12) month Net Operating Income (NOI) and a hypothetical debt service calculation using an interest rate of 7.50% and a 30-year amortization schedule.</w:t>
      </w:r>
    </w:p>
    <w:p>
      <w:r>
        <w:rPr>
          <w:b/>
          <w:color w:val="1F4E78"/>
          <w:sz w:val="22"/>
        </w:rPr>
        <w:t>Debt Yield (DY):</w:t>
      </w:r>
      <w:r>
        <w:rPr>
          <w:color w:val="333333"/>
          <w:sz w:val="22"/>
        </w:rPr>
        <w:t xml:space="preserve"> At Project stabilization, the minimum Debt Yield must be no less than 8.00% based on the trailing twelve (12) month Net Operating Income (NOI) divided by the then-outstanding principal balance of the Loan.</w:t>
      </w:r>
    </w:p>
    <w:p>
      <w:r>
        <w:rPr>
          <w:b/>
          <w:color w:val="1F4E78"/>
          <w:sz w:val="22"/>
        </w:rPr>
        <w:t>Fees:</w:t>
      </w:r>
    </w:p>
    <w:p>
      <w:pPr>
        <w:pStyle w:val="ListBullet"/>
        <w:ind w:left="720"/>
      </w:pPr>
      <w:r>
        <w:rPr>
          <w:b/>
          <w:color w:val="1F4E78"/>
          <w:sz w:val="22"/>
        </w:rPr>
        <w:t>Origination Fee:</w:t>
      </w:r>
      <w:r>
        <w:rPr>
          <w:color w:val="333333"/>
          <w:sz w:val="22"/>
        </w:rPr>
        <w:t xml:space="preserve"> One percent (1.00%) of the Loan Amount, payable at closing ($455,000.00).</w:t>
      </w:r>
    </w:p>
    <w:p>
      <w:pPr>
        <w:pStyle w:val="ListBullet"/>
        <w:ind w:left="720"/>
      </w:pPr>
      <w:r>
        <w:rPr>
          <w:b/>
          <w:color w:val="1F4E78"/>
          <w:sz w:val="22"/>
        </w:rPr>
        <w:t>Unused Commitment Fee:</w:t>
      </w:r>
      <w:r>
        <w:rPr>
          <w:color w:val="333333"/>
          <w:sz w:val="22"/>
        </w:rPr>
        <w:t xml:space="preserve"> Twenty-Five (25) basis points (0.25%) per annum on the average daily undrawn portion of the Loan Amount, accruing from the closing date and payable quarterly in arrears.</w:t>
      </w:r>
    </w:p>
    <w:p>
      <w:pPr>
        <w:pStyle w:val="ListBullet"/>
        <w:ind w:left="720"/>
      </w:pPr>
      <w:r>
        <w:rPr>
          <w:b/>
          <w:color w:val="1F4E78"/>
          <w:sz w:val="22"/>
        </w:rPr>
        <w:t>Legal Fees and Expenses:</w:t>
      </w:r>
      <w:r>
        <w:rPr>
          <w:color w:val="333333"/>
          <w:sz w:val="22"/>
        </w:rPr>
        <w:t xml:space="preserve"> Borrower shall be responsible for all reasonable out-of-pocket legal fees and expenses incurred by Lender in connection with the due diligence, negotiation, documentation, and closing of the Loan, as well as any post-closing amendments or enforcement actions.</w:t>
      </w:r>
    </w:p>
    <w:p>
      <w:pPr>
        <w:pStyle w:val="ListBullet"/>
        <w:ind w:left="720"/>
      </w:pPr>
      <w:r>
        <w:rPr>
          <w:b/>
          <w:color w:val="1F4E78"/>
          <w:sz w:val="22"/>
        </w:rPr>
        <w:t>Third-Party Reports:</w:t>
      </w:r>
      <w:r>
        <w:rPr>
          <w:color w:val="333333"/>
          <w:sz w:val="22"/>
        </w:rPr>
        <w:t xml:space="preserve"> Borrower shall be responsible for all costs associated with obtaining Lender's required third-party reports, including but not limited to appraisal, environmental assessments (Phase I ESA and, if required, Phase II ESA), geotechnical reports, market studies, surveys, and construction consulting services.</w:t>
      </w:r>
    </w:p>
    <w:p>
      <w:r>
        <w:rPr>
          <w:b/>
          <w:color w:val="1F4E78"/>
          <w:sz w:val="22"/>
        </w:rPr>
        <w:t>Prepayment:</w:t>
      </w:r>
      <w:r>
        <w:rPr>
          <w:color w:val="333333"/>
          <w:sz w:val="22"/>
        </w:rPr>
        <w:t xml:space="preserve"> The Loan may be prepaid in whole or in part without penalty during the Construction Period. A prepayment premium of one percent (1.00%) of the prepaid amount shall apply if the Loan is converted to a mini-perm and subsequently prepaid within the first eighteen (18) months of the mini-perm term.</w:t>
      </w:r>
    </w:p>
    <w:p>
      <w:r>
        <w:rPr>
          <w:b/>
          <w:color w:val="1F4E78"/>
          <w:sz w:val="22"/>
        </w:rPr>
        <w:t>Required Reserves:</w:t>
      </w:r>
      <w:r>
        <w:rPr>
          <w:color w:val="333333"/>
          <w:sz w:val="22"/>
        </w:rPr>
        <w:t xml:space="preserve"> Borrower shall establish and maintain with Lender, or a designated third-party escrow agent, reserves for (a) real estate taxes and insurance premiums, (b) replacement capital, and (c) tenant improvements and leasing commissions, all as deemed appropriate by Lender in its sole discretion upon stabilization of the Project.</w:t>
      </w:r>
    </w:p>
    <w:p>
      <w:pPr>
        <w:pStyle w:val="Heading2"/>
      </w:pPr>
      <w:r>
        <w:rPr>
          <w:color w:val="2E75B6"/>
          <w:sz w:val="30"/>
        </w:rPr>
        <w:t>IV. Security &amp; Collateral</w:t>
      </w:r>
    </w:p>
    <w:p>
      <w:r>
        <w:rPr>
          <w:color w:val="333333"/>
          <w:sz w:val="22"/>
        </w:rPr>
        <w:t>The Loan shall be secured by, inter alia, the following:</w:t>
      </w:r>
    </w:p>
    <w:p>
      <w:pPr>
        <w:pStyle w:val="ListBullet"/>
        <w:ind w:left="720"/>
      </w:pPr>
      <w:r>
        <w:rPr>
          <w:b/>
          <w:color w:val="1F4E78"/>
          <w:sz w:val="22"/>
        </w:rPr>
        <w:t>First Priority Deed of Trust/Mortgage:</w:t>
      </w:r>
      <w:r>
        <w:rPr>
          <w:color w:val="333333"/>
          <w:sz w:val="22"/>
        </w:rPr>
        <w:t xml:space="preserve"> A first-priority deed of trust or mortgage on the Property, including all existing and future improvements, fixtures, and appurtenances thereto, in favor of Lender.</w:t>
      </w:r>
    </w:p>
    <w:p>
      <w:pPr>
        <w:pStyle w:val="ListBullet"/>
        <w:ind w:left="720"/>
      </w:pPr>
      <w:r>
        <w:rPr>
          <w:b/>
          <w:color w:val="1F4E78"/>
          <w:sz w:val="22"/>
        </w:rPr>
        <w:t>Assignment of Rents, Leases, and Contracts:</w:t>
      </w:r>
      <w:r>
        <w:rPr>
          <w:color w:val="333333"/>
          <w:sz w:val="22"/>
        </w:rPr>
        <w:t xml:space="preserve"> A first-priority assignment of all existing and future leases, rents, profits, income, and revenues generated from the Property, and all material contracts related to the development and operation of the Project.</w:t>
      </w:r>
    </w:p>
    <w:p>
      <w:pPr>
        <w:pStyle w:val="ListBullet"/>
        <w:ind w:left="720"/>
      </w:pPr>
      <w:r>
        <w:rPr>
          <w:b/>
          <w:color w:val="1F4E78"/>
          <w:sz w:val="22"/>
        </w:rPr>
        <w:t>Assignment of Permits, Plans, and Specifications:</w:t>
      </w:r>
      <w:r>
        <w:rPr>
          <w:color w:val="333333"/>
          <w:sz w:val="22"/>
        </w:rPr>
        <w:t xml:space="preserve"> A first-priority assignment of all governmental permits, licenses, approvals, plans, specifications, drawings, architectural designs, and engineering reports pertaining to the Project.</w:t>
      </w:r>
    </w:p>
    <w:p>
      <w:pPr>
        <w:pStyle w:val="ListBullet"/>
        <w:ind w:left="720"/>
      </w:pPr>
      <w:r>
        <w:rPr>
          <w:b/>
          <w:color w:val="1F4E78"/>
          <w:sz w:val="22"/>
        </w:rPr>
        <w:t>Pledge of Equity:</w:t>
      </w:r>
      <w:r>
        <w:rPr>
          <w:color w:val="333333"/>
          <w:sz w:val="22"/>
        </w:rPr>
        <w:t xml:space="preserve"> A first-priority pledge of one hundred percent (100%) of the equity interests (membership interests or partnership interests, as applicable) in Borrower and any direct or indirect parent entity of Borrower, excluding publicly traded entities.</w:t>
      </w:r>
    </w:p>
    <w:p>
      <w:pPr>
        <w:pStyle w:val="ListBullet"/>
        <w:ind w:left="720"/>
      </w:pPr>
      <w:r>
        <w:rPr>
          <w:b/>
          <w:color w:val="1F4E78"/>
          <w:sz w:val="22"/>
        </w:rPr>
        <w:t>UCC Filings:</w:t>
      </w:r>
      <w:r>
        <w:rPr>
          <w:color w:val="333333"/>
          <w:sz w:val="22"/>
        </w:rPr>
        <w:t xml:space="preserve"> Lender shall file appropriate UCC-1 financing statements covering all personal property, fixtures, equipment, and general intangibles related to the Project.</w:t>
      </w:r>
    </w:p>
    <w:p>
      <w:pPr>
        <w:pStyle w:val="ListBullet"/>
        <w:ind w:left="720"/>
      </w:pPr>
      <w:r>
        <w:rPr>
          <w:b/>
          <w:color w:val="1F4E78"/>
          <w:sz w:val="22"/>
        </w:rPr>
        <w:t>Cash Collateral/Accounts:</w:t>
      </w:r>
      <w:r>
        <w:rPr>
          <w:color w:val="333333"/>
          <w:sz w:val="22"/>
        </w:rPr>
        <w:t xml:space="preserve"> Lender shall have a security interest in all Project-related bank accounts, including construction accounts, operating accounts, and reserve accounts.</w:t>
      </w:r>
    </w:p>
    <w:p>
      <w:pPr>
        <w:pStyle w:val="Heading2"/>
      </w:pPr>
      <w:r>
        <w:rPr>
          <w:color w:val="2E75B6"/>
          <w:sz w:val="30"/>
        </w:rPr>
        <w:t>V. Guaranties</w:t>
      </w:r>
    </w:p>
    <w:p>
      <w:r>
        <w:rPr>
          <w:color w:val="333333"/>
          <w:sz w:val="22"/>
        </w:rPr>
        <w:t>The following shall be provided by Guarantor(s) and other principals as required by Lender:</w:t>
      </w:r>
    </w:p>
    <w:p>
      <w:pPr>
        <w:pStyle w:val="ListBullet"/>
        <w:ind w:left="720"/>
      </w:pPr>
      <w:r>
        <w:rPr>
          <w:b/>
          <w:color w:val="1F4E78"/>
          <w:sz w:val="22"/>
        </w:rPr>
        <w:t>Completion Guaranty:</w:t>
      </w:r>
      <w:r>
        <w:rPr>
          <w:color w:val="333333"/>
          <w:sz w:val="22"/>
        </w:rPr>
        <w:t xml:space="preserve"> A full, unconditional, and irrevocable guaranty of the completion of the Project in accordance with the Lender-approved plans, specifications, and budget, free and clear of all mechanics' and materialmen's liens (excepting Permitted Encumbrances).</w:t>
      </w:r>
    </w:p>
    <w:p>
      <w:pPr>
        <w:pStyle w:val="ListBullet"/>
        <w:ind w:left="720"/>
      </w:pPr>
      <w:r>
        <w:rPr>
          <w:b/>
          <w:color w:val="1F4E78"/>
          <w:sz w:val="22"/>
        </w:rPr>
        <w:t>Environmental Indemnity:</w:t>
      </w:r>
      <w:r>
        <w:rPr>
          <w:color w:val="333333"/>
          <w:sz w:val="22"/>
        </w:rPr>
        <w:t xml:space="preserve"> A full and unconditional indemnity for all environmental liabilities, costs, and expenses arising from or related to the Property, without regard to Lender's actions or inactions.</w:t>
      </w:r>
    </w:p>
    <w:p>
      <w:pPr>
        <w:pStyle w:val="ListBullet"/>
        <w:ind w:left="720"/>
      </w:pPr>
      <w:r>
        <w:rPr>
          <w:b/>
          <w:color w:val="1F4E78"/>
          <w:sz w:val="22"/>
        </w:rPr>
        <w:t>Non-Recourse Carve-Out Guaranty:</w:t>
      </w:r>
      <w:r>
        <w:rPr>
          <w:color w:val="333333"/>
          <w:sz w:val="22"/>
        </w:rPr>
        <w:t xml:space="preserve"> A guaranty of certain "bad boy" acts or omissions by Borrower, Guarantor, or their affiliates, including but not limited to fraud, misrepresentation, waste, unapproved transfers of the Property, bankruptcy filings intended to delay or hinder Lender's remedies, and misapplication of Loan proceeds or rents.</w:t>
      </w:r>
    </w:p>
    <w:p>
      <w:pPr>
        <w:pStyle w:val="ListBullet"/>
        <w:ind w:left="720"/>
      </w:pPr>
      <w:r>
        <w:rPr>
          <w:b/>
          <w:color w:val="1F4E78"/>
          <w:sz w:val="22"/>
        </w:rPr>
        <w:t>Limited Payment Guaranty:</w:t>
      </w:r>
      <w:r>
        <w:rPr>
          <w:color w:val="333333"/>
          <w:sz w:val="22"/>
        </w:rPr>
        <w:t xml:space="preserve"> A limited guaranty of payment of all amounts due under the Loan until the Project achieves stabilization, defined as: (i) 90% physical completion, (ii) 90% occupancy for a continuous period of three (3) months, and (iii) achievement of a minimum DSCR of 1.25x and Debt Yield of 8.00% for the trailing three (3) months, all as verified by Lender.</w:t>
      </w:r>
    </w:p>
    <w:p>
      <w:pPr>
        <w:pStyle w:val="Heading2"/>
      </w:pPr>
      <w:r>
        <w:rPr>
          <w:color w:val="2E75B6"/>
          <w:sz w:val="30"/>
        </w:rPr>
        <w:t>VI. Conditions Precedent to Closing</w:t>
      </w:r>
    </w:p>
    <w:p>
      <w:r>
        <w:rPr>
          <w:color w:val="333333"/>
          <w:sz w:val="22"/>
        </w:rPr>
        <w:t>Lender's obligation to close the Loan is subject to the satisfaction, in Lender's sole discretion, of the following conditions, inter alia:</w:t>
      </w:r>
    </w:p>
    <w:p>
      <w:pPr>
        <w:pStyle w:val="ListBullet"/>
        <w:ind w:left="720"/>
      </w:pPr>
      <w:r>
        <w:rPr>
          <w:b/>
          <w:color w:val="1F4E78"/>
          <w:sz w:val="22"/>
        </w:rPr>
        <w:t>Due Diligence:</w:t>
      </w:r>
      <w:r>
        <w:rPr>
          <w:color w:val="333333"/>
          <w:sz w:val="22"/>
        </w:rPr>
        <w:t xml:space="preserve"> Completion and Lender's satisfactory review of all customary due diligence materials, including a Phase I Environmental Site Assessment (and Phase II, if warranted), geotechnical report, ALTA survey, zoning analysis, market study, and a "go dark" appraisal report determining as-is, as-complete, and as-stabilized values of the Property.</w:t>
      </w:r>
    </w:p>
    <w:p>
      <w:pPr>
        <w:pStyle w:val="ListBullet"/>
        <w:ind w:left="720"/>
      </w:pPr>
      <w:r>
        <w:rPr>
          <w:b/>
          <w:color w:val="1F4E78"/>
          <w:sz w:val="22"/>
        </w:rPr>
        <w:t>Title Insurance:</w:t>
      </w:r>
      <w:r>
        <w:rPr>
          <w:color w:val="333333"/>
          <w:sz w:val="22"/>
        </w:rPr>
        <w:t xml:space="preserve"> Delivery of a Lender's Policy of Title Insurance, in an amount equal to the Loan Amount, showing Lender's first-priority lien position, free and clear of all objectionable liens and encumbrances.</w:t>
      </w:r>
    </w:p>
    <w:p>
      <w:pPr>
        <w:pStyle w:val="ListBullet"/>
        <w:ind w:left="720"/>
      </w:pPr>
      <w:r>
        <w:rPr>
          <w:b/>
          <w:color w:val="1F4E78"/>
          <w:sz w:val="22"/>
        </w:rPr>
        <w:t>Construction Documentation:</w:t>
      </w:r>
      <w:r>
        <w:rPr>
          <w:color w:val="333333"/>
          <w:sz w:val="22"/>
        </w:rPr>
        <w:t xml:space="preserve"> Final, Lender-approved plans and specifications, construction budget, general contract, and all subcontracts for material trades. All contracts must include Lender-protective provisions.</w:t>
      </w:r>
    </w:p>
    <w:p>
      <w:pPr>
        <w:pStyle w:val="ListBullet"/>
        <w:ind w:left="720"/>
      </w:pPr>
      <w:r>
        <w:rPr>
          <w:b/>
          <w:color w:val="1F4E78"/>
          <w:sz w:val="22"/>
        </w:rPr>
        <w:t>Permits and Approvals:</w:t>
      </w:r>
      <w:r>
        <w:rPr>
          <w:color w:val="333333"/>
          <w:sz w:val="22"/>
        </w:rPr>
        <w:t xml:space="preserve"> Borrower shall have obtained all necessary governmental permits, licenses, approvals, and entitlements for the construction, occupancy, and operation of the Project.</w:t>
      </w:r>
    </w:p>
    <w:p>
      <w:pPr>
        <w:pStyle w:val="ListBullet"/>
        <w:ind w:left="720"/>
      </w:pPr>
      <w:r>
        <w:rPr>
          <w:b/>
          <w:color w:val="1F4E78"/>
          <w:sz w:val="22"/>
        </w:rPr>
        <w:t>Organizational Documents:</w:t>
      </w:r>
      <w:r>
        <w:rPr>
          <w:color w:val="333333"/>
          <w:sz w:val="22"/>
        </w:rPr>
        <w:t xml:space="preserve"> Satisfactory review of Borrower's and Guarantor's organizational documents, including all formation documents, operating agreements, and resolutions authorizing the Loan.</w:t>
      </w:r>
    </w:p>
    <w:p>
      <w:pPr>
        <w:pStyle w:val="ListBullet"/>
        <w:ind w:left="720"/>
      </w:pPr>
      <w:r>
        <w:rPr>
          <w:b/>
          <w:color w:val="1F4E78"/>
          <w:sz w:val="22"/>
        </w:rPr>
        <w:t>Insurance:</w:t>
      </w:r>
      <w:r>
        <w:rPr>
          <w:color w:val="333333"/>
          <w:sz w:val="22"/>
        </w:rPr>
        <w:t xml:space="preserve"> Delivery of all required insurance policies, including builder's risk, commercial general liability, property, and flood insurance, with Lender named as an additional insured and loss payee, in amounts and with carriers acceptable to Lender.</w:t>
      </w:r>
    </w:p>
    <w:p>
      <w:pPr>
        <w:pStyle w:val="ListBullet"/>
        <w:ind w:left="720"/>
      </w:pPr>
      <w:r>
        <w:rPr>
          <w:b/>
          <w:color w:val="1F4E78"/>
          <w:sz w:val="22"/>
        </w:rPr>
        <w:t>Equity Confirmation:</w:t>
      </w:r>
      <w:r>
        <w:rPr>
          <w:color w:val="333333"/>
          <w:sz w:val="22"/>
        </w:rPr>
        <w:t xml:space="preserve"> Documentation satisfactory to Lender evidencing the availability and funding of Borrower's required equity contribution into the Project.</w:t>
      </w:r>
    </w:p>
    <w:p>
      <w:pPr>
        <w:pStyle w:val="ListBullet"/>
        <w:ind w:left="720"/>
      </w:pPr>
      <w:r>
        <w:rPr>
          <w:b/>
          <w:color w:val="1F4E78"/>
          <w:sz w:val="22"/>
        </w:rPr>
        <w:t>Legal Opinions:</w:t>
      </w:r>
      <w:r>
        <w:rPr>
          <w:color w:val="333333"/>
          <w:sz w:val="22"/>
        </w:rPr>
        <w:t xml:space="preserve"> Delivery of customary legal opinions from Borrower's counsel, covering corporate authority, enforceability, perfection of liens, and other matters deemed necessary by Lender.</w:t>
      </w:r>
    </w:p>
    <w:p>
      <w:pPr>
        <w:pStyle w:val="ListBullet"/>
        <w:ind w:left="720"/>
      </w:pPr>
      <w:r>
        <w:rPr>
          <w:b/>
          <w:color w:val="1F4E78"/>
          <w:sz w:val="22"/>
        </w:rPr>
        <w:t>Financial Covenants:</w:t>
      </w:r>
      <w:r>
        <w:rPr>
          <w:color w:val="333333"/>
          <w:sz w:val="22"/>
        </w:rPr>
        <w:t xml:space="preserve"> Borrower and Guarantor shall demonstrate sufficient liquidity and net worth, as determined by Lender, for the Project's successful execution.</w:t>
      </w:r>
    </w:p>
    <w:p>
      <w:pPr>
        <w:pStyle w:val="ListBullet"/>
        <w:ind w:left="720"/>
      </w:pPr>
      <w:r>
        <w:rPr>
          <w:b/>
          <w:color w:val="1F4E78"/>
          <w:sz w:val="22"/>
        </w:rPr>
        <w:t>No Material Adverse Change:</w:t>
      </w:r>
      <w:r>
        <w:rPr>
          <w:color w:val="333333"/>
          <w:sz w:val="22"/>
        </w:rPr>
        <w:t xml:space="preserve"> No material adverse change in the financial condition of Borrower or Guarantor, or in the Project's market conditions, since the date of this Term Sheet.</w:t>
      </w:r>
    </w:p>
    <w:p>
      <w:pPr>
        <w:pStyle w:val="Heading2"/>
      </w:pPr>
      <w:r>
        <w:rPr>
          <w:color w:val="2E75B6"/>
          <w:sz w:val="30"/>
        </w:rPr>
        <w:t>VII. Conditions Precedent to Each Draw</w:t>
      </w:r>
    </w:p>
    <w:p>
      <w:r>
        <w:rPr>
          <w:color w:val="333333"/>
          <w:sz w:val="22"/>
        </w:rPr>
        <w:t>Each disbursement of Loan proceeds is subject to the satisfaction, in Lender's sole discretion, of the following conditions:</w:t>
      </w:r>
    </w:p>
    <w:p>
      <w:pPr>
        <w:pStyle w:val="ListBullet"/>
        <w:ind w:left="720"/>
      </w:pPr>
      <w:r>
        <w:rPr>
          <w:b/>
          <w:color w:val="1F4E78"/>
          <w:sz w:val="22"/>
        </w:rPr>
        <w:t>Draw Request:</w:t>
      </w:r>
      <w:r>
        <w:rPr>
          <w:color w:val="333333"/>
          <w:sz w:val="22"/>
        </w:rPr>
        <w:t xml:space="preserve"> Delivery of a duly executed and completed draw request package, including contractor's sworn statements, lien waivers from all contractors and subcontractors (conditional and unconditional, as applicable), invoices, and other supporting documentation.</w:t>
      </w:r>
    </w:p>
    <w:p>
      <w:pPr>
        <w:pStyle w:val="ListBullet"/>
        <w:ind w:left="720"/>
      </w:pPr>
      <w:r>
        <w:rPr>
          <w:b/>
          <w:color w:val="1F4E78"/>
          <w:sz w:val="22"/>
        </w:rPr>
        <w:t>Construction Progress:</w:t>
      </w:r>
      <w:r>
        <w:rPr>
          <w:color w:val="333333"/>
          <w:sz w:val="22"/>
        </w:rPr>
        <w:t xml:space="preserve"> Verification by Lender's construction consultant that work is being performed in a good and workmanlike manner, in accordance with the approved plans and specifications, and that the percentage of completion justifies the requested draw.</w:t>
      </w:r>
    </w:p>
    <w:p>
      <w:pPr>
        <w:pStyle w:val="ListBullet"/>
        <w:ind w:left="720"/>
      </w:pPr>
      <w:r>
        <w:rPr>
          <w:b/>
          <w:color w:val="1F4E78"/>
          <w:sz w:val="22"/>
        </w:rPr>
        <w:t>Budget Adherence:</w:t>
      </w:r>
      <w:r>
        <w:rPr>
          <w:color w:val="333333"/>
          <w:sz w:val="22"/>
        </w:rPr>
        <w:t xml:space="preserve"> Confirmation that costs remain within the Lender-approved budget and that sufficient funds remain to complete the Project.</w:t>
      </w:r>
    </w:p>
    <w:p>
      <w:pPr>
        <w:pStyle w:val="ListBullet"/>
        <w:ind w:left="720"/>
      </w:pPr>
      <w:r>
        <w:rPr>
          <w:b/>
          <w:color w:val="1F4E78"/>
          <w:sz w:val="22"/>
        </w:rPr>
        <w:t>No Event of Default:</w:t>
      </w:r>
      <w:r>
        <w:rPr>
          <w:color w:val="333333"/>
          <w:sz w:val="22"/>
        </w:rPr>
        <w:t xml:space="preserve"> No Event of Default (as defined in the Loan Documents) shall exist, nor shall any event exist which, with the passage of time or giving of notice, would constitute an Event of Default.</w:t>
      </w:r>
    </w:p>
    <w:p>
      <w:pPr>
        <w:pStyle w:val="ListBullet"/>
        <w:ind w:left="720"/>
      </w:pPr>
      <w:r>
        <w:rPr>
          <w:b/>
          <w:color w:val="1F4E78"/>
          <w:sz w:val="22"/>
        </w:rPr>
        <w:t>Equity Funding:</w:t>
      </w:r>
      <w:r>
        <w:rPr>
          <w:color w:val="333333"/>
          <w:sz w:val="22"/>
        </w:rPr>
        <w:t xml:space="preserve"> Verification that Borrower's equity contribution has been funded on a pro-rata basis with Loan proceeds or as otherwise required by Lender.</w:t>
      </w:r>
    </w:p>
    <w:p>
      <w:pPr>
        <w:pStyle w:val="ListBullet"/>
        <w:ind w:left="720"/>
      </w:pPr>
      <w:r>
        <w:rPr>
          <w:b/>
          <w:color w:val="1F4E78"/>
          <w:sz w:val="22"/>
        </w:rPr>
        <w:t>Inspections:</w:t>
      </w:r>
      <w:r>
        <w:rPr>
          <w:color w:val="333333"/>
          <w:sz w:val="22"/>
        </w:rPr>
        <w:t xml:space="preserve"> Satisfactory completion of all required Lender inspections.</w:t>
      </w:r>
    </w:p>
    <w:p>
      <w:pPr>
        <w:pStyle w:val="Heading2"/>
      </w:pPr>
      <w:r>
        <w:rPr>
          <w:color w:val="2E75B6"/>
          <w:sz w:val="30"/>
        </w:rPr>
        <w:t>VIII. Borrower Covenants</w:t>
      </w:r>
    </w:p>
    <w:p>
      <w:r>
        <w:rPr>
          <w:color w:val="333333"/>
          <w:sz w:val="22"/>
        </w:rPr>
        <w:t>Borrower shall covenant, inter alia, to:</w:t>
      </w:r>
    </w:p>
    <w:p>
      <w:pPr>
        <w:pStyle w:val="ListBullet"/>
        <w:ind w:left="720"/>
      </w:pPr>
      <w:r>
        <w:rPr>
          <w:b/>
          <w:color w:val="1F4E78"/>
          <w:sz w:val="22"/>
        </w:rPr>
        <w:t>Affirmative Covenants:</w:t>
      </w:r>
      <w:r>
        <w:rPr>
          <w:color w:val="333333"/>
          <w:sz w:val="22"/>
        </w:rPr>
        <w:t xml:space="preserve"> Maintain the Property in good repair, pay all taxes and assessments when due, maintain all required insurance, comply with all applicable laws and regulations (including environmental laws), deliver customary financial statements and rent rolls to Lender periodically, and diligently pursue Project completion.</w:t>
      </w:r>
    </w:p>
    <w:p>
      <w:pPr>
        <w:pStyle w:val="ListBullet"/>
        <w:ind w:left="720"/>
      </w:pPr>
      <w:r>
        <w:rPr>
          <w:b/>
          <w:color w:val="1F4E78"/>
          <w:sz w:val="22"/>
        </w:rPr>
        <w:t>Negative Covenants:</w:t>
      </w:r>
      <w:r>
        <w:rPr>
          <w:color w:val="333333"/>
          <w:sz w:val="22"/>
        </w:rPr>
        <w:t xml:space="preserve"> Not to incur additional indebtedness secured by the Property, not to transfer or encumber the Property or equity interests in Borrower without Lender's prior written consent, not to make any material changes to the plans and specifications or the Project budget without Lender's approval, and not to make distributions to its members or partners prior to Project stabilization and Lender's written consent.</w:t>
      </w:r>
    </w:p>
    <w:p>
      <w:pPr>
        <w:pStyle w:val="Heading2"/>
      </w:pPr>
      <w:r>
        <w:rPr>
          <w:color w:val="2E75B6"/>
          <w:sz w:val="30"/>
        </w:rPr>
        <w:t>IX. Representations and Warranties</w:t>
      </w:r>
    </w:p>
    <w:p>
      <w:r>
        <w:rPr>
          <w:color w:val="333333"/>
          <w:sz w:val="22"/>
        </w:rPr>
        <w:t>Borrower shall make customary representations and warranties to Lender, including, but not limited to: corporate organization and authority, enforceability of agreements, financial condition, absence of litigation, compliance with laws, environmental matters, absence of defaults, accuracy of information provided, and payment of taxes.</w:t>
      </w:r>
    </w:p>
    <w:p>
      <w:pPr>
        <w:pStyle w:val="Heading2"/>
      </w:pPr>
      <w:r>
        <w:rPr>
          <w:color w:val="2E75B6"/>
          <w:sz w:val="30"/>
        </w:rPr>
        <w:t>X. Events of Default</w:t>
      </w:r>
    </w:p>
    <w:p>
      <w:r>
        <w:rPr>
          <w:color w:val="333333"/>
          <w:sz w:val="22"/>
        </w:rPr>
        <w:t>The Loan Documents shall include customary events of default, including, without limitation:</w:t>
      </w:r>
    </w:p>
    <w:p>
      <w:pPr>
        <w:pStyle w:val="ListBullet"/>
        <w:ind w:left="720"/>
      </w:pPr>
      <w:r>
        <w:rPr>
          <w:color w:val="333333"/>
          <w:sz w:val="22"/>
        </w:rPr>
        <w:t>Failure to pay any principal, interest, or other amount when due.</w:t>
      </w:r>
    </w:p>
    <w:p>
      <w:pPr>
        <w:pStyle w:val="ListBullet"/>
        <w:ind w:left="720"/>
      </w:pPr>
      <w:r>
        <w:rPr>
          <w:color w:val="333333"/>
          <w:sz w:val="22"/>
        </w:rPr>
        <w:t>Breach of any covenant, representation, or warranty.</w:t>
      </w:r>
    </w:p>
    <w:p>
      <w:pPr>
        <w:pStyle w:val="ListBullet"/>
        <w:ind w:left="720"/>
      </w:pPr>
      <w:r>
        <w:rPr>
          <w:color w:val="333333"/>
          <w:sz w:val="22"/>
        </w:rPr>
        <w:t>Cross-default with other indebtedness.</w:t>
      </w:r>
    </w:p>
    <w:p>
      <w:pPr>
        <w:pStyle w:val="ListBullet"/>
        <w:ind w:left="720"/>
      </w:pPr>
      <w:r>
        <w:rPr>
          <w:color w:val="333333"/>
          <w:sz w:val="22"/>
        </w:rPr>
        <w:t>Bankruptcy, insolvency, or receivership of Borrower or Guarantor.</w:t>
      </w:r>
    </w:p>
    <w:p>
      <w:pPr>
        <w:pStyle w:val="ListBullet"/>
        <w:ind w:left="720"/>
      </w:pPr>
      <w:r>
        <w:rPr>
          <w:color w:val="333333"/>
          <w:sz w:val="22"/>
        </w:rPr>
        <w:t>Material adverse change in Borrower's or Guarantor's financial condition.</w:t>
      </w:r>
    </w:p>
    <w:p>
      <w:pPr>
        <w:pStyle w:val="ListBullet"/>
        <w:ind w:left="720"/>
      </w:pPr>
      <w:r>
        <w:rPr>
          <w:color w:val="333333"/>
          <w:sz w:val="22"/>
        </w:rPr>
        <w:t>Breach of any Guaranty.</w:t>
      </w:r>
    </w:p>
    <w:p>
      <w:pPr>
        <w:pStyle w:val="ListBullet"/>
        <w:ind w:left="720"/>
      </w:pPr>
      <w:r>
        <w:rPr>
          <w:color w:val="333333"/>
          <w:sz w:val="22"/>
        </w:rPr>
        <w:t>Failure to complete the Project by the completion date.</w:t>
      </w:r>
    </w:p>
    <w:p>
      <w:pPr>
        <w:pStyle w:val="Heading2"/>
      </w:pPr>
      <w:r>
        <w:rPr>
          <w:color w:val="2E75B6"/>
          <w:sz w:val="30"/>
        </w:rPr>
        <w:t>XI. Miscellaneous Provisions</w:t>
      </w:r>
    </w:p>
    <w:p>
      <w:r>
        <w:rPr>
          <w:b/>
          <w:color w:val="1F4E78"/>
          <w:sz w:val="22"/>
        </w:rPr>
        <w:t>Governing Law:</w:t>
      </w:r>
      <w:r>
        <w:rPr>
          <w:color w:val="333333"/>
          <w:sz w:val="22"/>
        </w:rPr>
        <w:t xml:space="preserve"> This Term Sheet and the definitive Loan Documents shall be governed by and construed in accordance with the laws of the State of Illinois, without regard to its conflict of laws principles.</w:t>
      </w:r>
    </w:p>
    <w:p>
      <w:r>
        <w:rPr>
          <w:b/>
          <w:color w:val="1F4E78"/>
          <w:sz w:val="22"/>
        </w:rPr>
        <w:t>Confidentiality:</w:t>
      </w:r>
      <w:r>
        <w:rPr>
          <w:color w:val="333333"/>
          <w:sz w:val="22"/>
        </w:rPr>
        <w:t xml:space="preserve"> This Term Sheet and the information contained herein are highly confidential and shall not be disclosed to any third party (other than professional advisors under confidentiality obligations) without the prior written consent of Lender.</w:t>
      </w:r>
    </w:p>
    <w:p>
      <w:r>
        <w:rPr>
          <w:b/>
          <w:color w:val="1F4E78"/>
          <w:sz w:val="22"/>
        </w:rPr>
        <w:t>Expenses:</w:t>
      </w:r>
      <w:r>
        <w:rPr>
          <w:color w:val="333333"/>
          <w:sz w:val="22"/>
        </w:rPr>
        <w:t xml:space="preserve"> Borrower shall be responsible for all reasonable out-of-pocket expenses incurred by Lender in connection with the Loan, regardless of whether the Loan ultimately closes.</w:t>
      </w:r>
    </w:p>
    <w:p>
      <w:r>
        <w:rPr>
          <w:b/>
          <w:color w:val="1F4E78"/>
          <w:sz w:val="22"/>
        </w:rPr>
        <w:t>Assignment:</w:t>
      </w:r>
      <w:r>
        <w:rPr>
          <w:color w:val="333333"/>
          <w:sz w:val="22"/>
        </w:rPr>
        <w:t xml:space="preserve"> Lender may assign its rights and obligations under this Term Sheet and the definitive Loan Documents in whole or in part, without the prior written consent of Borrower. Borrower may not assign its rights or obligations hereunder without Lender's prior written consent.</w:t>
      </w:r>
    </w:p>
    <w:p>
      <w:r>
        <w:rPr>
          <w:b/>
          <w:color w:val="1F4E78"/>
          <w:sz w:val="22"/>
        </w:rPr>
        <w:t>No Joint Venture:</w:t>
      </w:r>
      <w:r>
        <w:rPr>
          <w:color w:val="333333"/>
          <w:sz w:val="22"/>
        </w:rPr>
        <w:t xml:space="preserve"> Nothing in this Term Sheet or the definitive Loan Documents shall be construed to create a partnership, joint venture, or agency relationship between Lender and Borrower.</w:t>
      </w:r>
    </w:p>
    <w:p>
      <w:r>
        <w:rPr>
          <w:b/>
          <w:color w:val="1F4E78"/>
          <w:sz w:val="22"/>
        </w:rPr>
        <w:t>Expiration of Term Sheet:</w:t>
      </w:r>
      <w:r>
        <w:rPr>
          <w:color w:val="333333"/>
          <w:sz w:val="22"/>
        </w:rPr>
        <w:t xml:space="preserve"> This Term Sheet, unless earlier accepted in writing by Borrower and Guarantor, shall expire automatically on November 9, 2023, at 5:00 PM Central Standard Time.</w:t>
      </w:r>
    </w:p>
    <w:p>
      <w:r>
        <w:rPr>
          <w:b/>
          <w:color w:val="1F4E78"/>
          <w:sz w:val="22"/>
        </w:rPr>
        <w:t>Non-Binding Nature:</w:t>
      </w:r>
      <w:r>
        <w:rPr>
          <w:color w:val="333333"/>
          <w:sz w:val="22"/>
        </w:rPr>
        <w:t xml:space="preserve"> This Term Sheet is intended solely as an outline of the proposed terms and conditions for the Loan and is for discussion purposes only. It does not constitute a commitment or agreement by Lender to provide financing, and no legally binding obligations or commitments shall exist until definitive Loan Documents, satisfactory in form and substance to Lender and its legal counsel, have been executed and delivered by all parties thereto and all conditions precedent to closing have been satisfied or waived by Lender in its sole discretion.</w:t>
      </w:r>
    </w:p>
    <w:p>
      <w:pPr>
        <w:jc w:val="center"/>
      </w:pPr>
      <w:r>
        <w:rPr>
          <w:color w:val="CCCCCC"/>
          <w:sz w:val="12"/>
        </w:rPr>
        <w:t>────────────────────────────────────────────────────────────────────────────────</w:t>
      </w:r>
    </w:p>
    <w:p>
      <w:r>
        <w:rPr>
          <w:b/>
          <w:color w:val="1F4E78"/>
          <w:sz w:val="22"/>
        </w:rPr>
        <w:t>Acknowledged and Agreed:</w:t>
      </w:r>
    </w:p>
    <w:p>
      <w:r>
        <w:rPr>
          <w:b/>
          <w:color w:val="1F4E78"/>
          <w:sz w:val="22"/>
        </w:rPr>
        <w:t>EVERGREEN DEVELOPMENT GROUP, LLC</w:t>
      </w:r>
    </w:p>
    <w:p>
      <w:r>
        <w:rPr>
          <w:color w:val="333333"/>
          <w:sz w:val="22"/>
        </w:rPr>
        <w:t>By: ______________________________ Name: Arthur P. Sterling Title: Managing Member Date:</w:t>
      </w:r>
    </w:p>
    <w:p>
      <w:r>
        <w:rPr>
          <w:b/>
          <w:color w:val="1F4E78"/>
          <w:sz w:val="22"/>
        </w:rPr>
        <w:t>ARTHUR P. STERLING</w:t>
      </w:r>
    </w:p>
    <w:p>
      <w:r>
        <w:rPr>
          <w:color w:val="333333"/>
          <w:sz w:val="22"/>
        </w:rPr>
        <w:t>______________________________ Arthur P. Sterling, Individually Date: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4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