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PFC LEASE AGREEMENT</w:t>
      </w:r>
    </w:p>
    <w:p>
      <w:r>
        <w:rPr>
          <w:b/>
        </w:rPr>
        <w:t>Agency:</w:t>
      </w:r>
      <w:r>
        <w:t xml:space="preserve"> Dallas Housing Finance Corp</w:t>
      </w:r>
    </w:p>
    <w:p>
      <w:r>
        <w:rPr>
          <w:b/>
        </w:rPr>
        <w:t>Structure:</w:t>
      </w:r>
      <w:r>
        <w:t xml:space="preserve"> Public Facility Corporation (PFC)</w:t>
      </w:r>
    </w:p>
    <w:p>
      <w:r>
        <w:rPr>
          <w:b/>
        </w:rPr>
        <w:t>Benefit:</w:t>
      </w:r>
      <w:r>
        <w:t xml:space="preserve"> 100% Property Tax Exemption (75 Years)</w:t>
      </w:r>
    </w:p>
    <w:p>
      <w:r>
        <w:rPr>
          <w:b/>
        </w:rPr>
        <w:t>Requirement:</w:t>
      </w:r>
      <w:r>
        <w:t xml:space="preserve"> 50% of units @ &lt;80% AMI</w:t>
      </w:r>
    </w:p>
    <w:p>
      <w:r>
        <w:rPr>
          <w:b/>
        </w:rPr>
        <w:t>Fee:</w:t>
      </w:r>
      <w:r>
        <w:t xml:space="preserve"> $116,000 Structuring Fee</w:t>
      </w:r>
    </w:p>
    <w:p>
      <w:r>
        <w:rPr>
          <w:b/>
        </w:rPr>
        <w:t>Stacking:</w:t>
      </w:r>
      <w:r>
        <w:t xml:space="preserve"> Compatible with LIHTC (if pursued)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