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phase-i-environmental"/>
    <w:p>
      <w:pPr>
        <w:pStyle w:val="Heading1"/>
      </w:pPr>
      <w:r>
        <w:t xml:space="preserve">PHASE I ENVIRONMENTAL</w:t>
      </w:r>
    </w:p>
    <w:p>
      <w:pPr>
        <w:pStyle w:val="FirstParagraph"/>
      </w:pPr>
      <w:r>
        <w:rPr>
          <w:b/>
          <w:bCs/>
        </w:rPr>
        <w:t xml:space="preserve">Firm:</w:t>
      </w:r>
      <w:r>
        <w:t xml:space="preserve"> </w:t>
      </w:r>
      <w:r>
        <w:t xml:space="preserve">Terracon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 15, 2024</w:t>
      </w:r>
    </w:p>
    <w:bookmarkStart w:id="9" w:name="findings"/>
    <w:p>
      <w:pPr>
        <w:pStyle w:val="Heading2"/>
      </w:pPr>
      <w:r>
        <w:t xml:space="preserve">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Clean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HREC:</w:t>
      </w:r>
      <w:r>
        <w:t xml:space="preserve"> </w:t>
      </w:r>
      <w:r>
        <w:t xml:space="preserve">Closed hydraulic lift (NFA issued 2010)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Wetlands:</w:t>
      </w:r>
      <w:r>
        <w:t xml:space="preserve"> </w:t>
      </w:r>
      <w:r>
        <w:t xml:space="preserve">No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Radon:</w:t>
      </w:r>
      <w:r>
        <w:t xml:space="preserve"> </w:t>
      </w:r>
      <w:r>
        <w:t xml:space="preserve">Low Risk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Noise Factors:</w:t>
      </w:r>
      <w:r>
        <w:t xml:space="preserve"> </w:t>
      </w:r>
      <w:r>
        <w:t xml:space="preserve">Highway (I-30 is 0.2 miles south), Rail (0.5 miles east)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No Phase II required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2025-12-04T08:44:14Z</dcterms:created>
  <dcterms:modified xsi:type="dcterms:W3CDTF">2025-12-04T08:44:14Z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