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COMMITMENT</w:t>
      </w:r>
    </w:p>
    <w:p>
      <w:r>
        <w:rPr>
          <w:b/>
        </w:rPr>
        <w:t>Insurer:</w:t>
      </w:r>
      <w:r>
        <w:t xml:space="preserve"> Republic Title</w:t>
      </w:r>
    </w:p>
    <w:p>
      <w:r>
        <w:rPr>
          <w:b/>
        </w:rPr>
        <w:t>Proposed Insured:</w:t>
      </w:r>
      <w:r>
        <w:t xml:space="preserve"> Lender (Loan Policy) &amp; Owner (Owner Policy)</w:t>
      </w:r>
    </w:p>
    <w:p>
      <w:r>
        <w:rPr>
          <w:b/>
        </w:rPr>
        <w:t>Schedule B Exceptions:</w:t>
      </w:r>
    </w:p>
    <w:p>
      <w:pPr>
        <w:pStyle w:val="ListBullet"/>
      </w:pPr>
      <w:r>
        <w:t>Standard Utility Easements</w:t>
      </w:r>
    </w:p>
    <w:p>
      <w:pPr>
        <w:pStyle w:val="ListBullet"/>
      </w:pPr>
      <w:r>
        <w:t>PFC Ground Lease Memorandum</w:t>
      </w:r>
    </w:p>
    <w:p>
      <w:r>
        <w:rPr>
          <w:b/>
        </w:rPr>
        <w:t>Requirements:</w:t>
      </w:r>
      <w:r>
        <w:t xml:space="preserve"> Pay off existing land bridge loan ($2M) at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