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ENTITY STRUCTURE</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1"/>
      </w:pPr>
      <w:r>
        <w:rPr>
          <w:color w:val="1F4E78"/>
          <w:sz w:val="36"/>
        </w:rPr>
        <w:t>Entity Structure Document: So-Good Apartments Development</w:t>
      </w:r>
    </w:p>
    <w:p>
      <w:pPr>
        <w:pStyle w:val="Heading2"/>
      </w:pPr>
      <w:r>
        <w:rPr>
          <w:color w:val="2E75B6"/>
          <w:sz w:val="30"/>
        </w:rPr>
        <w:t>Executive Summary</w:t>
      </w:r>
    </w:p>
    <w:p>
      <w:r>
        <w:rPr>
          <w:color w:val="333333"/>
          <w:sz w:val="22"/>
        </w:rPr>
        <w:t>This document rigorously details the proposed entity structure for the acquisition, development, construction, and eventual operation or disposition of "So-Good Apartments," a planned 280-unit Class A multi-family development located in Springfield. The total project capitalization is projected at Sixty-Five Million US Dollars ($65,000,000.00). This structure has been meticulously designed to optimize for capital efficiency, limit sponsor and investor liability, facilitate tax-efficient distribution of proceeds, and adhere to senior lender requirements, including robust bankruptcy remoteness provisions. The structure incorporates a multi-tiered limited liability company (LLC) framework, establishing clear lines of authority, responsibility, and financial obligation among the principal stakeholders: the Sponsor (Evergreen Development Group LLC), the institutional equity investor (Apex Capital Partners LP), and the senior construction lender (Mid-Atlantic Commercial Bank).</w:t>
      </w:r>
    </w:p>
    <w:p>
      <w:pPr>
        <w:pStyle w:val="Heading2"/>
      </w:pPr>
      <w:r>
        <w:rPr>
          <w:color w:val="2E75B6"/>
          <w:sz w:val="30"/>
        </w:rPr>
        <w:t>Project Overview</w:t>
      </w:r>
    </w:p>
    <w:p>
      <w:r>
        <w:rPr>
          <w:b/>
          <w:color w:val="1F4E78"/>
          <w:sz w:val="22"/>
        </w:rPr>
        <w:t>Project Name:</w:t>
      </w:r>
      <w:r>
        <w:rPr>
          <w:color w:val="333333"/>
          <w:sz w:val="22"/>
        </w:rPr>
        <w:t xml:space="preserve"> So-Good Apartments</w:t>
      </w:r>
    </w:p>
    <w:p>
      <w:r>
        <w:rPr>
          <w:b/>
          <w:color w:val="1F4E78"/>
          <w:sz w:val="22"/>
        </w:rPr>
        <w:t>Location:</w:t>
      </w:r>
      <w:r>
        <w:rPr>
          <w:color w:val="333333"/>
          <w:sz w:val="22"/>
        </w:rPr>
        <w:t xml:space="preserve"> Springfield (Precise address: 1475 Riverside Drive, Springfield, State of Incorporation)</w:t>
      </w:r>
    </w:p>
    <w:p>
      <w:r>
        <w:rPr>
          <w:b/>
          <w:color w:val="1F4E78"/>
          <w:sz w:val="22"/>
        </w:rPr>
        <w:t>Asset Type:</w:t>
      </w:r>
      <w:r>
        <w:rPr>
          <w:color w:val="333333"/>
          <w:sz w:val="22"/>
        </w:rPr>
        <w:t xml:space="preserve"> Multi-Family Residential (280 units, comprising 1BR, 2BR, and select 3BR configurations)</w:t>
      </w:r>
    </w:p>
    <w:p>
      <w:r>
        <w:rPr>
          <w:b/>
          <w:color w:val="1F4E78"/>
          <w:sz w:val="22"/>
        </w:rPr>
        <w:t>Total Project Cost (TPC):</w:t>
      </w:r>
      <w:r>
        <w:rPr>
          <w:color w:val="333333"/>
          <w:sz w:val="22"/>
        </w:rPr>
        <w:t xml:space="preserve"> $65,000,000.00</w:t>
      </w:r>
    </w:p>
    <w:p>
      <w:r>
        <w:rPr>
          <w:b/>
          <w:color w:val="1F4E78"/>
          <w:sz w:val="22"/>
        </w:rPr>
        <w:t>Development Timeline:</w:t>
      </w:r>
      <w:r>
        <w:rPr>
          <w:color w:val="333333"/>
          <w:sz w:val="22"/>
        </w:rPr>
        <w:t xml:space="preserve"> Q4 2024 (Acquisition &amp; Entitlement) to Q2 2027 (Stabilization)</w:t>
      </w:r>
    </w:p>
    <w:p>
      <w:r>
        <w:rPr>
          <w:b/>
          <w:color w:val="1F4E78"/>
          <w:sz w:val="22"/>
        </w:rPr>
        <w:t>Sponsor:</w:t>
      </w:r>
      <w:r>
        <w:rPr>
          <w:color w:val="333333"/>
          <w:sz w:val="22"/>
        </w:rPr>
        <w:t xml:space="preserve"> Evergreen Development Group LLC, a Delaware limited liability company.</w:t>
      </w:r>
    </w:p>
    <w:p>
      <w:r>
        <w:rPr>
          <w:b/>
          <w:color w:val="1F4E78"/>
          <w:sz w:val="22"/>
        </w:rPr>
        <w:t>Key Institutional Investor:</w:t>
      </w:r>
      <w:r>
        <w:rPr>
          <w:color w:val="333333"/>
          <w:sz w:val="22"/>
        </w:rPr>
        <w:t xml:space="preserve"> Apex Capital Partners LP, a Delaware limited partnership.</w:t>
      </w:r>
    </w:p>
    <w:p>
      <w:r>
        <w:rPr>
          <w:b/>
          <w:color w:val="1F4E78"/>
          <w:sz w:val="22"/>
        </w:rPr>
        <w:t>Senior Lender:</w:t>
      </w:r>
      <w:r>
        <w:rPr>
          <w:color w:val="333333"/>
          <w:sz w:val="22"/>
        </w:rPr>
        <w:t xml:space="preserve"> Mid-Atlantic Commercial Bank.</w:t>
      </w:r>
    </w:p>
    <w:p>
      <w:r>
        <w:rPr>
          <w:color w:val="333333"/>
          <w:sz w:val="22"/>
        </w:rPr>
        <w:t>The So-Good Apartments development entails the ground-up construction of a luxury multi-family complex designed to cater to the growing demand in the Springfield submarket. The project includes extensive amenities such as a clubhouse, fitness center, co-working spaces, and structured parking. This entity structure is foundational to the successful execution and financial governance of this significant real estate endeavor.</w:t>
      </w:r>
    </w:p>
    <w:p>
      <w:pPr>
        <w:pStyle w:val="Heading2"/>
      </w:pPr>
      <w:r>
        <w:rPr>
          <w:color w:val="2E75B6"/>
          <w:sz w:val="30"/>
        </w:rPr>
        <w:t>Purpose of Entity Structure</w:t>
      </w:r>
    </w:p>
    <w:p>
      <w:r>
        <w:rPr>
          <w:color w:val="333333"/>
          <w:sz w:val="22"/>
        </w:rPr>
        <w:t>The proposed multi-tiered entity structure serves several critical functions essential for sophisticated commercial real estate development and finance:</w:t>
      </w:r>
    </w:p>
    <w:p>
      <w:r>
        <w:rPr>
          <w:color w:val="333333"/>
          <w:sz w:val="22"/>
        </w:rPr>
        <w:t xml:space="preserve">1.  </w:t>
      </w:r>
      <w:r>
        <w:rPr>
          <w:b/>
          <w:color w:val="1F4E78"/>
          <w:sz w:val="22"/>
        </w:rPr>
        <w:t>Limited Liability:</w:t>
      </w:r>
      <w:r>
        <w:rPr>
          <w:color w:val="333333"/>
          <w:sz w:val="22"/>
        </w:rPr>
        <w:t xml:space="preserve"> To shield individual members, partners, and the parent entities from liabilities arising directly from the project's operations, construction risks, or potential litigation. 2.  </w:t>
      </w:r>
      <w:r>
        <w:rPr>
          <w:b/>
          <w:color w:val="1F4E78"/>
          <w:sz w:val="22"/>
        </w:rPr>
        <w:t>Bankruptcy Remoteness:</w:t>
      </w:r>
      <w:r>
        <w:rPr>
          <w:color w:val="333333"/>
          <w:sz w:val="22"/>
        </w:rPr>
        <w:t xml:space="preserve"> To create an insulated Special Purpose Vehicle (SPV) that minimizes the likelihood of its bankruptcy impacting its members or being substantively consolidated with the bankruptcy estate of any affiliate, a paramount requirement for senior secured lenders. 3.  </w:t>
      </w:r>
      <w:r>
        <w:rPr>
          <w:b/>
          <w:color w:val="1F4E78"/>
          <w:sz w:val="22"/>
        </w:rPr>
        <w:t>Tax Efficiency:</w:t>
      </w:r>
      <w:r>
        <w:rPr>
          <w:color w:val="333333"/>
          <w:sz w:val="22"/>
        </w:rPr>
        <w:t xml:space="preserve"> To enable pass-through taxation, avoiding corporate-level taxation and allowing profits and losses to flow directly to the investors, facilitating advantageous tax planning. 4.  </w:t>
      </w:r>
      <w:r>
        <w:rPr>
          <w:b/>
          <w:color w:val="1F4E78"/>
          <w:sz w:val="22"/>
        </w:rPr>
        <w:t>Capital Structuring:</w:t>
      </w:r>
      <w:r>
        <w:rPr>
          <w:color w:val="333333"/>
          <w:sz w:val="22"/>
        </w:rPr>
        <w:t xml:space="preserve"> To clearly delineate equity contributions, debt tranches, and preferred returns, enabling efficient distribution waterfall mechanisms. 5.  </w:t>
      </w:r>
      <w:r>
        <w:rPr>
          <w:b/>
          <w:color w:val="1F4E78"/>
          <w:sz w:val="22"/>
        </w:rPr>
        <w:t>Governance &amp; Management:</w:t>
      </w:r>
      <w:r>
        <w:rPr>
          <w:color w:val="333333"/>
          <w:sz w:val="22"/>
        </w:rPr>
        <w:t xml:space="preserve"> To establish a clear framework for decision-making, management authority, and reporting obligations between the Sponsor (managing member) and the institutional equity investor (non-managing member). 6.  </w:t>
      </w:r>
      <w:r>
        <w:rPr>
          <w:b/>
          <w:color w:val="1F4E78"/>
          <w:sz w:val="22"/>
        </w:rPr>
        <w:t>Operational Flexibility:</w:t>
      </w:r>
      <w:r>
        <w:rPr>
          <w:color w:val="333333"/>
          <w:sz w:val="22"/>
        </w:rPr>
        <w:t xml:space="preserve"> To allow for the compartmentalization of operational activities (e.g., property management, development services) through affiliated entities, optimizing internal resource allocation and risk management. 7.  </w:t>
      </w:r>
      <w:r>
        <w:rPr>
          <w:b/>
          <w:color w:val="1F4E78"/>
          <w:sz w:val="22"/>
        </w:rPr>
        <w:t>Future Dispositions:</w:t>
      </w:r>
      <w:r>
        <w:rPr>
          <w:color w:val="333333"/>
          <w:sz w:val="22"/>
        </w:rPr>
        <w:t xml:space="preserve"> To simplify the eventual sale or refinancing of the asset, as the ownership interest in the SPV can be transferred efficiently.</w:t>
      </w:r>
    </w:p>
    <w:p>
      <w:pPr>
        <w:pStyle w:val="Heading2"/>
      </w:pPr>
      <w:r>
        <w:rPr>
          <w:color w:val="2E75B6"/>
          <w:sz w:val="30"/>
        </w:rPr>
        <w:t>Core Entities and Their Roles</w:t>
      </w:r>
    </w:p>
    <w:p>
      <w:r>
        <w:rPr>
          <w:color w:val="333333"/>
          <w:sz w:val="22"/>
        </w:rPr>
        <w:t>The entity structure for So-Good Apartments comprises three primary interconnected legal entities:</w:t>
      </w:r>
    </w:p>
    <w:p>
      <w:pPr>
        <w:pStyle w:val="Heading3"/>
      </w:pPr>
      <w:r>
        <w:rPr>
          <w:color w:val="2E75B6"/>
          <w:sz w:val="26"/>
        </w:rPr>
        <w:t>1. So-Good Apartments Owner LLC (The Property Owner SPV)</w:t>
      </w:r>
    </w:p>
    <w:p>
      <w:pPr>
        <w:pStyle w:val="ListBullet"/>
        <w:ind w:left="720"/>
      </w:pPr>
      <w:r>
        <w:rPr>
          <w:b/>
          <w:color w:val="1F4E78"/>
          <w:sz w:val="22"/>
        </w:rPr>
        <w:t>Formation:</w:t>
      </w:r>
      <w:r>
        <w:rPr>
          <w:color w:val="333333"/>
          <w:sz w:val="22"/>
        </w:rPr>
        <w:t xml:space="preserve"> A limited liability company formed under the laws of the State of Incorporation where So-Good Apartments is located (e.g., Virginia LLC if Springfield, VA).</w:t>
      </w:r>
    </w:p>
    <w:p>
      <w:pPr>
        <w:pStyle w:val="ListBullet"/>
        <w:ind w:left="720"/>
      </w:pPr>
      <w:r>
        <w:rPr>
          <w:b/>
          <w:color w:val="1F4E78"/>
          <w:sz w:val="22"/>
        </w:rPr>
        <w:t>Purpose:</w:t>
      </w:r>
      <w:r>
        <w:rPr>
          <w:color w:val="333333"/>
          <w:sz w:val="22"/>
        </w:rPr>
        <w:t xml:space="preserve"> This entity serves as the direct owner of the real property located at 1475 Riverside Drive, Springfield, and will hold all title and leasehold interests related to the development site. It is structured as a Special Purpose Vehicle (SPV) to achieve bankruptcy remoteness.</w:t>
      </w:r>
    </w:p>
    <w:p>
      <w:pPr>
        <w:pStyle w:val="ListBullet"/>
        <w:ind w:left="720"/>
      </w:pPr>
      <w:r>
        <w:rPr>
          <w:b/>
          <w:color w:val="1F4E78"/>
          <w:sz w:val="22"/>
        </w:rPr>
        <w:t>Membership:</w:t>
      </w:r>
      <w:r>
        <w:rPr>
          <w:color w:val="333333"/>
          <w:sz w:val="22"/>
        </w:rPr>
        <w:t xml:space="preserve"> The sole member of So-Good Apartments Owner LLC is </w:t>
      </w:r>
      <w:r>
        <w:rPr>
          <w:b/>
          <w:color w:val="1F4E78"/>
          <w:sz w:val="22"/>
        </w:rPr>
        <w:t>Springfield Multi-Family JV LLC</w:t>
      </w:r>
      <w:r>
        <w:rPr>
          <w:color w:val="333333"/>
          <w:sz w:val="22"/>
        </w:rPr>
        <w:t>.</w:t>
      </w:r>
    </w:p>
    <w:p>
      <w:pPr>
        <w:pStyle w:val="ListBullet"/>
        <w:ind w:left="720"/>
      </w:pPr>
      <w:r>
        <w:rPr>
          <w:b/>
          <w:color w:val="1F4E78"/>
          <w:sz w:val="22"/>
        </w:rPr>
        <w:t>Key Responsibilities:</w:t>
      </w:r>
    </w:p>
    <w:p>
      <w:pPr>
        <w:pStyle w:val="ListBullet"/>
        <w:ind w:left="1080"/>
      </w:pPr>
      <w:r>
        <w:rPr>
          <w:color w:val="333333"/>
          <w:sz w:val="22"/>
        </w:rPr>
        <w:t>Holds legal title to the real estate assets.</w:t>
      </w:r>
    </w:p>
    <w:p>
      <w:pPr>
        <w:pStyle w:val="ListBullet"/>
        <w:ind w:left="1080"/>
      </w:pPr>
      <w:r>
        <w:rPr>
          <w:color w:val="333333"/>
          <w:sz w:val="22"/>
        </w:rPr>
        <w:t>Is the sole borrower under the Senior Construction Loan Agreement with Mid-Atlantic Commercial Bank.</w:t>
      </w:r>
    </w:p>
    <w:p>
      <w:pPr>
        <w:pStyle w:val="ListBullet"/>
        <w:ind w:left="1080"/>
      </w:pPr>
      <w:r>
        <w:rPr>
          <w:color w:val="333333"/>
          <w:sz w:val="22"/>
        </w:rPr>
        <w:t>Enters into all major construction contracts (e.g., General Contractor Agreement) and development agreements.</w:t>
      </w:r>
    </w:p>
    <w:p>
      <w:pPr>
        <w:pStyle w:val="ListBullet"/>
        <w:ind w:left="1080"/>
      </w:pPr>
      <w:r>
        <w:rPr>
          <w:color w:val="333333"/>
          <w:sz w:val="22"/>
        </w:rPr>
        <w:t>Is the primary obligor for all project-level liabilities.</w:t>
      </w:r>
    </w:p>
    <w:p>
      <w:pPr>
        <w:pStyle w:val="ListBullet"/>
        <w:ind w:left="720"/>
      </w:pPr>
      <w:r>
        <w:rPr>
          <w:b/>
          <w:color w:val="1F4E78"/>
          <w:sz w:val="22"/>
        </w:rPr>
        <w:t>SPV Covenants:</w:t>
      </w:r>
      <w:r>
        <w:rPr>
          <w:color w:val="333333"/>
          <w:sz w:val="22"/>
        </w:rPr>
        <w:t xml:space="preserve"> The Operating Agreement of So-Good Apartments Owner LLC will contain specific covenants required by the Senior Lender, including, but not limited to:</w:t>
      </w:r>
    </w:p>
    <w:p>
      <w:pPr>
        <w:pStyle w:val="ListBullet"/>
        <w:ind w:left="1080"/>
      </w:pPr>
      <w:r>
        <w:rPr>
          <w:color w:val="333333"/>
          <w:sz w:val="22"/>
        </w:rPr>
        <w:t>Maintaining separate books and records.</w:t>
      </w:r>
    </w:p>
    <w:p>
      <w:pPr>
        <w:pStyle w:val="ListBullet"/>
        <w:ind w:left="1080"/>
      </w:pPr>
      <w:r>
        <w:rPr>
          <w:color w:val="333333"/>
          <w:sz w:val="22"/>
        </w:rPr>
        <w:t>Having its own bank accounts.</w:t>
      </w:r>
    </w:p>
    <w:p>
      <w:pPr>
        <w:pStyle w:val="ListBullet"/>
        <w:ind w:left="1080"/>
      </w:pPr>
      <w:r>
        <w:rPr>
          <w:color w:val="333333"/>
          <w:sz w:val="22"/>
        </w:rPr>
        <w:t>Not engaging in any business unrelated to the project.</w:t>
      </w:r>
    </w:p>
    <w:p>
      <w:pPr>
        <w:pStyle w:val="ListBullet"/>
        <w:ind w:left="1080"/>
      </w:pPr>
      <w:r>
        <w:rPr>
          <w:color w:val="333333"/>
          <w:sz w:val="22"/>
        </w:rPr>
        <w:t>Not incurring any debt other than the Senior Loan and approved trade payables.</w:t>
      </w:r>
    </w:p>
    <w:p>
      <w:pPr>
        <w:pStyle w:val="ListBullet"/>
        <w:ind w:left="1080"/>
      </w:pPr>
      <w:r>
        <w:rPr>
          <w:color w:val="333333"/>
          <w:sz w:val="22"/>
        </w:rPr>
        <w:t>Having at least one "independent director" or "special member" whose vote is required for any bankruptcy filing, providing an additional layer of protection against voluntary bankruptcy.</w:t>
      </w:r>
    </w:p>
    <w:p>
      <w:pPr>
        <w:pStyle w:val="ListBullet"/>
        <w:ind w:left="1080"/>
      </w:pPr>
      <w:r>
        <w:rPr>
          <w:color w:val="333333"/>
          <w:sz w:val="22"/>
        </w:rPr>
        <w:t>Not commingling its assets with those of any other entity.</w:t>
      </w:r>
    </w:p>
    <w:p>
      <w:pPr>
        <w:pStyle w:val="Heading3"/>
      </w:pPr>
      <w:r>
        <w:rPr>
          <w:color w:val="2E75B6"/>
          <w:sz w:val="26"/>
        </w:rPr>
        <w:t>2. Springfield Multi-Family JV LLC (The Joint Venture Equity Vehicle)</w:t>
      </w:r>
    </w:p>
    <w:p>
      <w:pPr>
        <w:pStyle w:val="ListBullet"/>
        <w:ind w:left="720"/>
      </w:pPr>
      <w:r>
        <w:rPr>
          <w:b/>
          <w:color w:val="1F4E78"/>
          <w:sz w:val="22"/>
        </w:rPr>
        <w:t>Formation:</w:t>
      </w:r>
      <w:r>
        <w:rPr>
          <w:color w:val="333333"/>
          <w:sz w:val="22"/>
        </w:rPr>
        <w:t xml:space="preserve"> A limited liability company formed under the laws of Delaware. This jurisdiction is preferred for its well-developed corporate law, judicial precedent, and flexibility regarding contractual governance.</w:t>
      </w:r>
    </w:p>
    <w:p>
      <w:pPr>
        <w:pStyle w:val="ListBullet"/>
        <w:ind w:left="720"/>
      </w:pPr>
      <w:r>
        <w:rPr>
          <w:b/>
          <w:color w:val="1F4E78"/>
          <w:sz w:val="22"/>
        </w:rPr>
        <w:t>Purpose:</w:t>
      </w:r>
      <w:r>
        <w:rPr>
          <w:color w:val="333333"/>
          <w:sz w:val="22"/>
        </w:rPr>
        <w:t xml:space="preserve"> This entity serves as the primary equity vehicle, bringing together the Sponsor's expertise and initial capital with the institutional investor's significant capital contribution. It is structured as a joint venture to facilitate profit sharing and risk allocation.</w:t>
      </w:r>
    </w:p>
    <w:p>
      <w:pPr>
        <w:pStyle w:val="ListBullet"/>
        <w:ind w:left="720"/>
      </w:pPr>
      <w:r>
        <w:rPr>
          <w:b/>
          <w:color w:val="1F4E78"/>
          <w:sz w:val="22"/>
        </w:rPr>
        <w:t>Membership:</w:t>
      </w:r>
    </w:p>
    <w:p>
      <w:pPr>
        <w:pStyle w:val="ListBullet"/>
        <w:ind w:left="1080"/>
      </w:pPr>
      <w:r>
        <w:rPr>
          <w:b/>
          <w:color w:val="1F4E78"/>
          <w:sz w:val="22"/>
        </w:rPr>
        <w:t>Managing Member:</w:t>
      </w:r>
      <w:r>
        <w:rPr>
          <w:color w:val="333333"/>
          <w:sz w:val="22"/>
        </w:rPr>
        <w:t xml:space="preserve"> </w:t>
      </w:r>
      <w:r>
        <w:rPr>
          <w:b/>
          <w:color w:val="1F4E78"/>
          <w:sz w:val="22"/>
        </w:rPr>
        <w:t>Evergreen Development Group LLC</w:t>
      </w:r>
      <w:r>
        <w:rPr>
          <w:color w:val="333333"/>
          <w:sz w:val="22"/>
        </w:rPr>
        <w:t xml:space="preserve"> (the Sponsor), holding a 10.0% capital interest and 100% of the voting control over ordinary course decisions, subject to specific major decision thresholds.</w:t>
      </w:r>
    </w:p>
    <w:p>
      <w:pPr>
        <w:pStyle w:val="ListBullet"/>
        <w:ind w:left="1080"/>
      </w:pPr>
      <w:r>
        <w:rPr>
          <w:b/>
          <w:color w:val="1F4E78"/>
          <w:sz w:val="22"/>
        </w:rPr>
        <w:t>Non-Managing Member:</w:t>
      </w:r>
      <w:r>
        <w:rPr>
          <w:color w:val="333333"/>
          <w:sz w:val="22"/>
        </w:rPr>
        <w:t xml:space="preserve"> </w:t>
      </w:r>
      <w:r>
        <w:rPr>
          <w:b/>
          <w:color w:val="1F4E78"/>
          <w:sz w:val="22"/>
        </w:rPr>
        <w:t>Apex Capital Partners LP</w:t>
      </w:r>
      <w:r>
        <w:rPr>
          <w:color w:val="333333"/>
          <w:sz w:val="22"/>
        </w:rPr>
        <w:t xml:space="preserve"> (the Institutional Investor), holding a 90.0% capital interest and possessing specific consent rights over "Major Decisions" as defined in the Operating Agreement.</w:t>
      </w:r>
    </w:p>
    <w:p>
      <w:pPr>
        <w:pStyle w:val="ListBullet"/>
        <w:ind w:left="720"/>
      </w:pPr>
      <w:r>
        <w:rPr>
          <w:b/>
          <w:color w:val="1F4E78"/>
          <w:sz w:val="22"/>
        </w:rPr>
        <w:t>Key Responsibilities:</w:t>
      </w:r>
    </w:p>
    <w:p>
      <w:pPr>
        <w:pStyle w:val="ListBullet"/>
        <w:ind w:left="1080"/>
      </w:pPr>
      <w:r>
        <w:rPr>
          <w:color w:val="333333"/>
          <w:sz w:val="22"/>
        </w:rPr>
        <w:t>Contributes the aggregate equity required for the So-Good Apartments project to So-Good Apartments Owner LLC.</w:t>
      </w:r>
    </w:p>
    <w:p>
      <w:pPr>
        <w:pStyle w:val="ListBullet"/>
        <w:ind w:left="1080"/>
      </w:pPr>
      <w:r>
        <w:rPr>
          <w:color w:val="333333"/>
          <w:sz w:val="22"/>
        </w:rPr>
        <w:t>Governs the strategic direction, financing, development, and eventual disposition of So-Good Apartments Owner LLC through its managing member and the consent rights of its non-managing member.</w:t>
      </w:r>
    </w:p>
    <w:p>
      <w:pPr>
        <w:pStyle w:val="ListBullet"/>
        <w:ind w:left="1080"/>
      </w:pPr>
      <w:r>
        <w:rPr>
          <w:color w:val="333333"/>
          <w:sz w:val="22"/>
        </w:rPr>
        <w:t>Manages all investor relations and reporting.</w:t>
      </w:r>
    </w:p>
    <w:p>
      <w:pPr>
        <w:pStyle w:val="ListBullet"/>
        <w:ind w:left="1080"/>
      </w:pPr>
      <w:r>
        <w:rPr>
          <w:color w:val="333333"/>
          <w:sz w:val="22"/>
        </w:rPr>
        <w:t>Responsible for administering the capital call process to its members.</w:t>
      </w:r>
    </w:p>
    <w:p>
      <w:pPr>
        <w:pStyle w:val="ListBullet"/>
        <w:ind w:left="720"/>
      </w:pPr>
      <w:r>
        <w:rPr>
          <w:b/>
          <w:color w:val="1F4E78"/>
          <w:sz w:val="22"/>
        </w:rPr>
        <w:t>Governing Document:</w:t>
      </w:r>
      <w:r>
        <w:rPr>
          <w:color w:val="333333"/>
          <w:sz w:val="22"/>
        </w:rPr>
        <w:t xml:space="preserve"> The </w:t>
      </w:r>
      <w:r>
        <w:rPr>
          <w:b/>
          <w:color w:val="1F4E78"/>
          <w:sz w:val="22"/>
        </w:rPr>
        <w:t>Operating Agreement</w:t>
      </w:r>
      <w:r>
        <w:rPr>
          <w:color w:val="333333"/>
          <w:sz w:val="22"/>
        </w:rPr>
        <w:t xml:space="preserve"> of Springfield Multi-Family JV LLC is the foundational document detailing:</w:t>
      </w:r>
    </w:p>
    <w:p>
      <w:pPr>
        <w:pStyle w:val="ListBullet"/>
        <w:ind w:left="1080"/>
      </w:pPr>
      <w:r>
        <w:rPr>
          <w:color w:val="333333"/>
          <w:sz w:val="22"/>
        </w:rPr>
        <w:t>Capital Contributions and Call Provisions.</w:t>
      </w:r>
    </w:p>
    <w:p>
      <w:pPr>
        <w:pStyle w:val="ListBullet"/>
        <w:ind w:left="1080"/>
      </w:pPr>
      <w:r>
        <w:rPr>
          <w:color w:val="333333"/>
          <w:sz w:val="22"/>
        </w:rPr>
        <w:t>Distribution Waterfall (preferred return, promote structure).</w:t>
      </w:r>
    </w:p>
    <w:p>
      <w:pPr>
        <w:pStyle w:val="ListBullet"/>
        <w:ind w:left="1080"/>
      </w:pPr>
      <w:r>
        <w:rPr>
          <w:color w:val="333333"/>
          <w:sz w:val="22"/>
        </w:rPr>
        <w:t>Management Rights and Fiduciary Duties.</w:t>
      </w:r>
    </w:p>
    <w:p>
      <w:pPr>
        <w:pStyle w:val="ListBullet"/>
        <w:ind w:left="1080"/>
      </w:pPr>
      <w:r>
        <w:rPr>
          <w:color w:val="333333"/>
          <w:sz w:val="22"/>
        </w:rPr>
        <w:t>Major Decision Thresholds (e.g., budget approval, debt restructuring, asset sale, capital calls, material contracts over $500,000, changes to business plan require Apex Capital Partners LP consent).</w:t>
      </w:r>
    </w:p>
    <w:p>
      <w:pPr>
        <w:pStyle w:val="ListBullet"/>
        <w:ind w:left="1080"/>
      </w:pPr>
      <w:r>
        <w:rPr>
          <w:color w:val="333333"/>
          <w:sz w:val="22"/>
        </w:rPr>
        <w:t>Indemnification provisions.</w:t>
      </w:r>
    </w:p>
    <w:p>
      <w:pPr>
        <w:pStyle w:val="ListBullet"/>
        <w:ind w:left="1080"/>
      </w:pPr>
      <w:r>
        <w:rPr>
          <w:color w:val="333333"/>
          <w:sz w:val="22"/>
        </w:rPr>
        <w:t>Transfer Restrictions on Membership Interests.</w:t>
      </w:r>
    </w:p>
    <w:p>
      <w:pPr>
        <w:pStyle w:val="ListBullet"/>
        <w:ind w:left="1080"/>
      </w:pPr>
      <w:r>
        <w:rPr>
          <w:color w:val="333333"/>
          <w:sz w:val="22"/>
        </w:rPr>
        <w:t>Buy-Sell Provisions (e.g., drag-along, tag-along rights).</w:t>
      </w:r>
    </w:p>
    <w:p>
      <w:pPr>
        <w:pStyle w:val="Heading3"/>
      </w:pPr>
      <w:r>
        <w:rPr>
          <w:color w:val="2E75B6"/>
          <w:sz w:val="26"/>
        </w:rPr>
        <w:t>3. Evergreen Development Group LLC (The Sponsor/General Partner)</w:t>
      </w:r>
    </w:p>
    <w:p>
      <w:pPr>
        <w:pStyle w:val="ListBullet"/>
        <w:ind w:left="720"/>
      </w:pPr>
      <w:r>
        <w:rPr>
          <w:b/>
          <w:color w:val="1F4E78"/>
          <w:sz w:val="22"/>
        </w:rPr>
        <w:t>Formation:</w:t>
      </w:r>
      <w:r>
        <w:rPr>
          <w:color w:val="333333"/>
          <w:sz w:val="22"/>
        </w:rPr>
        <w:t xml:space="preserve"> A limited liability company formed under the laws of Delaware.</w:t>
      </w:r>
    </w:p>
    <w:p>
      <w:pPr>
        <w:pStyle w:val="ListBullet"/>
        <w:ind w:left="720"/>
      </w:pPr>
      <w:r>
        <w:rPr>
          <w:b/>
          <w:color w:val="1F4E78"/>
          <w:sz w:val="22"/>
        </w:rPr>
        <w:t>Purpose:</w:t>
      </w:r>
      <w:r>
        <w:rPr>
          <w:color w:val="333333"/>
          <w:sz w:val="22"/>
        </w:rPr>
        <w:t xml:space="preserve"> This is the primary development and management entity, serving as the ultimate managing member of the joint venture (Springfield Multi-Family JV LLC) and often providing development and property management services through affiliated entities.</w:t>
      </w:r>
    </w:p>
    <w:p>
      <w:pPr>
        <w:pStyle w:val="ListBullet"/>
        <w:ind w:left="720"/>
      </w:pPr>
      <w:r>
        <w:rPr>
          <w:b/>
          <w:color w:val="1F4E78"/>
          <w:sz w:val="22"/>
        </w:rPr>
        <w:t>Role in Structure:</w:t>
      </w:r>
    </w:p>
    <w:p>
      <w:pPr>
        <w:pStyle w:val="ListBullet"/>
        <w:ind w:left="1080"/>
      </w:pPr>
      <w:r>
        <w:rPr>
          <w:color w:val="333333"/>
          <w:sz w:val="22"/>
        </w:rPr>
        <w:t xml:space="preserve">Serves as the </w:t>
      </w:r>
      <w:r>
        <w:rPr>
          <w:b/>
          <w:color w:val="1F4E78"/>
          <w:sz w:val="22"/>
        </w:rPr>
        <w:t>Managing Member</w:t>
      </w:r>
      <w:r>
        <w:rPr>
          <w:color w:val="333333"/>
          <w:sz w:val="22"/>
        </w:rPr>
        <w:t xml:space="preserve"> of Springfield Multi-Family JV LLC, responsible for day-to-day operations, project management, and execution of the business plan.</w:t>
      </w:r>
    </w:p>
    <w:p>
      <w:pPr>
        <w:pStyle w:val="ListBullet"/>
        <w:ind w:left="1080"/>
      </w:pPr>
      <w:r>
        <w:rPr>
          <w:color w:val="333333"/>
          <w:sz w:val="22"/>
        </w:rPr>
        <w:t>Provides project-level guarantees to the Senior Lender, specifically "bad boy" carve-out guarantees and potentially a completion guarantee, limited to 10% of the total construction budget ($4,000,000.00) until Substantial Completion.</w:t>
      </w:r>
    </w:p>
    <w:p>
      <w:pPr>
        <w:pStyle w:val="ListBullet"/>
        <w:ind w:left="1080"/>
      </w:pPr>
      <w:r>
        <w:rPr>
          <w:color w:val="333333"/>
          <w:sz w:val="22"/>
        </w:rPr>
        <w:t>Contributes its pro-rata share of equity and earns a "promote" (carried interest) interest in the project.</w:t>
      </w:r>
    </w:p>
    <w:p>
      <w:pPr>
        <w:pStyle w:val="ListBullet"/>
        <w:ind w:left="720"/>
      </w:pPr>
      <w:r>
        <w:rPr>
          <w:b/>
          <w:color w:val="1F4E78"/>
          <w:sz w:val="22"/>
        </w:rPr>
        <w:t>Affiliated Entities (Contractual):</w:t>
      </w:r>
    </w:p>
    <w:p>
      <w:pPr>
        <w:pStyle w:val="ListBullet"/>
        <w:ind w:left="1080"/>
      </w:pPr>
      <w:r>
        <w:rPr>
          <w:b/>
          <w:color w:val="1F4E78"/>
          <w:sz w:val="22"/>
        </w:rPr>
        <w:t>Evergreen Development Management LLC:</w:t>
      </w:r>
      <w:r>
        <w:rPr>
          <w:color w:val="333333"/>
          <w:sz w:val="22"/>
        </w:rPr>
        <w:t xml:space="preserve"> Will serve as the Development Manager under a formal Development Management Agreement with So-Good Apartments Owner LLC, receiving a development fee of 3.0% of Total Project Cost, payable over the construction period.</w:t>
      </w:r>
    </w:p>
    <w:p>
      <w:pPr>
        <w:pStyle w:val="ListBullet"/>
        <w:ind w:left="1080"/>
      </w:pPr>
      <w:r>
        <w:rPr>
          <w:b/>
          <w:color w:val="1F4E78"/>
          <w:sz w:val="22"/>
        </w:rPr>
        <w:t>Evergreen Property Management LLC:</w:t>
      </w:r>
      <w:r>
        <w:rPr>
          <w:color w:val="333333"/>
          <w:sz w:val="22"/>
        </w:rPr>
        <w:t xml:space="preserve"> Will serve as the Property Manager under a Property Management Agreement with So-Good Apartments Owner LLC upon project completion and stabilization, receiving a management fee of 2.5% of Gross Scheduled Revenue.</w:t>
      </w:r>
    </w:p>
    <w:p>
      <w:pPr>
        <w:pStyle w:val="Heading2"/>
      </w:pPr>
      <w:r>
        <w:rPr>
          <w:color w:val="2E75B6"/>
          <w:sz w:val="30"/>
        </w:rPr>
        <w:t>Capitalization Structure</w:t>
      </w:r>
    </w:p>
    <w:p>
      <w:r>
        <w:rPr>
          <w:color w:val="333333"/>
          <w:sz w:val="22"/>
        </w:rPr>
        <w:t>The So-Good Apartments project, with a Total Project Cost (TPC) of $65,000,000.00, is funded through a combination of senior debt and institutional equity, structured as follows:</w:t>
      </w:r>
    </w:p>
    <w:p>
      <w:pPr>
        <w:pStyle w:val="Heading3"/>
      </w:pPr>
      <w:r>
        <w:rPr>
          <w:color w:val="2E75B6"/>
          <w:sz w:val="26"/>
        </w:rPr>
        <w:t>1. Senior Construction Loan</w:t>
      </w:r>
    </w:p>
    <w:p>
      <w:pPr>
        <w:pStyle w:val="ListBullet"/>
        <w:ind w:left="720"/>
      </w:pPr>
      <w:r>
        <w:rPr>
          <w:b/>
          <w:color w:val="1F4E78"/>
          <w:sz w:val="22"/>
        </w:rPr>
        <w:t>Provider:</w:t>
      </w:r>
      <w:r>
        <w:rPr>
          <w:color w:val="333333"/>
          <w:sz w:val="22"/>
        </w:rPr>
        <w:t xml:space="preserve"> Mid-Atlantic Commercial Bank</w:t>
      </w:r>
    </w:p>
    <w:p>
      <w:pPr>
        <w:pStyle w:val="ListBullet"/>
        <w:ind w:left="720"/>
      </w:pPr>
      <w:r>
        <w:rPr>
          <w:b/>
          <w:color w:val="1F4E78"/>
          <w:sz w:val="22"/>
        </w:rPr>
        <w:t>Amount:</w:t>
      </w:r>
      <w:r>
        <w:rPr>
          <w:color w:val="333333"/>
          <w:sz w:val="22"/>
        </w:rPr>
        <w:t xml:space="preserve"> $42,250,000.00</w:t>
      </w:r>
    </w:p>
    <w:p>
      <w:pPr>
        <w:pStyle w:val="ListBullet"/>
        <w:ind w:left="720"/>
      </w:pPr>
      <w:r>
        <w:rPr>
          <w:b/>
          <w:color w:val="1F4E78"/>
          <w:sz w:val="22"/>
        </w:rPr>
        <w:t>Leverage:</w:t>
      </w:r>
      <w:r>
        <w:rPr>
          <w:color w:val="333333"/>
          <w:sz w:val="22"/>
        </w:rPr>
        <w:t xml:space="preserve"> 65.0% of Total Project Cost</w:t>
      </w:r>
    </w:p>
    <w:p>
      <w:pPr>
        <w:pStyle w:val="ListBullet"/>
        <w:ind w:left="720"/>
      </w:pPr>
      <w:r>
        <w:rPr>
          <w:b/>
          <w:color w:val="1F4E78"/>
          <w:sz w:val="22"/>
        </w:rPr>
        <w:t>Type:</w:t>
      </w:r>
      <w:r>
        <w:rPr>
          <w:color w:val="333333"/>
          <w:sz w:val="22"/>
        </w:rPr>
        <w:t xml:space="preserve"> Senior Secured Construction Loan</w:t>
      </w:r>
    </w:p>
    <w:p>
      <w:pPr>
        <w:pStyle w:val="ListBullet"/>
        <w:ind w:left="720"/>
      </w:pPr>
      <w:r>
        <w:rPr>
          <w:b/>
          <w:color w:val="1F4E78"/>
          <w:sz w:val="22"/>
        </w:rPr>
        <w:t>Key Terms:</w:t>
      </w:r>
    </w:p>
    <w:p>
      <w:pPr>
        <w:pStyle w:val="ListBullet"/>
        <w:ind w:left="1080"/>
      </w:pPr>
      <w:r>
        <w:rPr>
          <w:color w:val="333333"/>
          <w:sz w:val="22"/>
        </w:rPr>
        <w:t>Interest Rate: SOFR + 250 basis points, with a floor of 6.00%.</w:t>
      </w:r>
    </w:p>
    <w:p>
      <w:pPr>
        <w:pStyle w:val="ListBullet"/>
        <w:ind w:left="1080"/>
      </w:pPr>
      <w:r>
        <w:rPr>
          <w:color w:val="333333"/>
          <w:sz w:val="22"/>
        </w:rPr>
        <w:t>Term: 36 months construction period, with one 12-month extension option.</w:t>
      </w:r>
    </w:p>
    <w:p>
      <w:pPr>
        <w:pStyle w:val="ListBullet"/>
        <w:ind w:left="1080"/>
      </w:pPr>
      <w:r>
        <w:rPr>
          <w:color w:val="333333"/>
          <w:sz w:val="22"/>
        </w:rPr>
        <w:t>Guarantees: Non-recourse loan with standard "bad boy" carve-out guarantees provided by Evergreen Development Group LLC and its principals.</w:t>
      </w:r>
    </w:p>
    <w:p>
      <w:pPr>
        <w:pStyle w:val="ListBullet"/>
        <w:ind w:left="1080"/>
      </w:pPr>
      <w:r>
        <w:rPr>
          <w:color w:val="333333"/>
          <w:sz w:val="22"/>
        </w:rPr>
        <w:t>Collateral: First-priority lien on the real property, improvements, and all project assets of So-Good Apartments Owner LLC.</w:t>
      </w:r>
    </w:p>
    <w:p>
      <w:pPr>
        <w:pStyle w:val="Heading3"/>
      </w:pPr>
      <w:r>
        <w:rPr>
          <w:color w:val="2E75B6"/>
          <w:sz w:val="26"/>
        </w:rPr>
        <w:t>2. Total Project Equity</w:t>
      </w:r>
    </w:p>
    <w:p>
      <w:pPr>
        <w:pStyle w:val="ListBullet"/>
        <w:ind w:left="720"/>
      </w:pPr>
      <w:r>
        <w:rPr>
          <w:b/>
          <w:color w:val="1F4E78"/>
          <w:sz w:val="22"/>
        </w:rPr>
        <w:t>Aggregate Amount:</w:t>
      </w:r>
      <w:r>
        <w:rPr>
          <w:color w:val="333333"/>
          <w:sz w:val="22"/>
        </w:rPr>
        <w:t xml:space="preserve"> $22,750,000.00</w:t>
      </w:r>
    </w:p>
    <w:p>
      <w:pPr>
        <w:pStyle w:val="ListBullet"/>
        <w:ind w:left="720"/>
      </w:pPr>
      <w:r>
        <w:rPr>
          <w:b/>
          <w:color w:val="1F4E78"/>
          <w:sz w:val="22"/>
        </w:rPr>
        <w:t>Composition:</w:t>
      </w:r>
    </w:p>
    <w:p>
      <w:pPr>
        <w:pStyle w:val="ListBullet"/>
        <w:ind w:left="1080"/>
      </w:pPr>
      <w:r>
        <w:rPr>
          <w:b/>
          <w:color w:val="1F4E78"/>
          <w:sz w:val="22"/>
        </w:rPr>
        <w:t>Apex Capital Partners LP (Non-Managing Member):</w:t>
      </w:r>
    </w:p>
    <w:p>
      <w:pPr>
        <w:pStyle w:val="ListBullet"/>
        <w:ind w:left="1440"/>
      </w:pPr>
      <w:r>
        <w:rPr>
          <w:color w:val="333333"/>
          <w:sz w:val="22"/>
        </w:rPr>
        <w:t>Initial Equity Contribution: $20,475,000.00</w:t>
      </w:r>
    </w:p>
    <w:p>
      <w:pPr>
        <w:pStyle w:val="ListBullet"/>
        <w:ind w:left="1440"/>
      </w:pPr>
      <w:r>
        <w:rPr>
          <w:color w:val="333333"/>
          <w:sz w:val="22"/>
        </w:rPr>
        <w:t>Capital Interest: 90.0%</w:t>
      </w:r>
    </w:p>
    <w:p>
      <w:pPr>
        <w:pStyle w:val="ListBullet"/>
        <w:ind w:left="1080"/>
      </w:pPr>
      <w:r>
        <w:rPr>
          <w:b/>
          <w:color w:val="1F4E78"/>
          <w:sz w:val="22"/>
        </w:rPr>
        <w:t>Evergreen Development Group LLC (Managing Member):</w:t>
      </w:r>
    </w:p>
    <w:p>
      <w:pPr>
        <w:pStyle w:val="ListBullet"/>
        <w:ind w:left="1440"/>
      </w:pPr>
      <w:r>
        <w:rPr>
          <w:color w:val="333333"/>
          <w:sz w:val="22"/>
        </w:rPr>
        <w:t>Initial Equity Contribution: $2,275,000.00</w:t>
      </w:r>
    </w:p>
    <w:p>
      <w:pPr>
        <w:pStyle w:val="ListBullet"/>
        <w:ind w:left="1440"/>
      </w:pPr>
      <w:r>
        <w:rPr>
          <w:color w:val="333333"/>
          <w:sz w:val="22"/>
        </w:rPr>
        <w:t>Capital Interest: 10.0%</w:t>
      </w:r>
    </w:p>
    <w:p>
      <w:pPr>
        <w:pStyle w:val="Heading3"/>
      </w:pPr>
      <w:r>
        <w:rPr>
          <w:color w:val="2E75B6"/>
          <w:sz w:val="26"/>
        </w:rPr>
        <w:t>3. Distribution Waterfall (Springfield Multi-Family JV LLC)</w:t>
      </w:r>
    </w:p>
    <w:p>
      <w:r>
        <w:rPr>
          <w:color w:val="333333"/>
          <w:sz w:val="22"/>
        </w:rPr>
        <w:t>Proceeds from refinancing, sale, or operations will be distributed according to the following tiered waterfall:</w:t>
      </w:r>
    </w:p>
    <w:p>
      <w:pPr>
        <w:pStyle w:val="ListBullet"/>
        <w:ind w:left="720"/>
      </w:pPr>
      <w:r>
        <w:rPr>
          <w:b/>
          <w:color w:val="1F4E78"/>
          <w:sz w:val="22"/>
        </w:rPr>
        <w:t>Tier 1 – Return of Capital &amp; Preferred Return:</w:t>
      </w:r>
      <w:r>
        <w:rPr>
          <w:color w:val="333333"/>
          <w:sz w:val="22"/>
        </w:rPr>
        <w:t xml:space="preserve"> 100% to Apex Capital Partners LP until it has received a cumulative, non-compounded 8.0% preferred return on its aggregate unreturned capital contributions, plus the return of 100% of its contributed capital.</w:t>
      </w:r>
    </w:p>
    <w:p>
      <w:pPr>
        <w:pStyle w:val="ListBullet"/>
        <w:ind w:left="720"/>
      </w:pPr>
      <w:r>
        <w:rPr>
          <w:b/>
          <w:color w:val="1F4E78"/>
          <w:sz w:val="22"/>
        </w:rPr>
        <w:t>Tier 2 – Catch-Up to Sponsor:</w:t>
      </w:r>
      <w:r>
        <w:rPr>
          <w:color w:val="333333"/>
          <w:sz w:val="22"/>
        </w:rPr>
        <w:t xml:space="preserve"> 100% to Evergreen Development Group LLC until it has received an amount equal to 8.0% on its aggregate unreturned capital contributions, plus the return of 100% of its contributed capital.</w:t>
      </w:r>
    </w:p>
    <w:p>
      <w:pPr>
        <w:pStyle w:val="ListBullet"/>
        <w:ind w:left="720"/>
      </w:pPr>
      <w:r>
        <w:rPr>
          <w:b/>
          <w:color w:val="1F4E78"/>
          <w:sz w:val="22"/>
        </w:rPr>
        <w:t>Tier 3 – Initial Promote:</w:t>
      </w:r>
      <w:r>
        <w:rPr>
          <w:color w:val="333333"/>
          <w:sz w:val="22"/>
        </w:rPr>
        <w:t xml:space="preserve"> 70% to Apex Capital Partners LP and 30% to Evergreen Development Group LLC until Apex Capital Partners LP has achieved a 12.0% Internal Rate of Return (IRR) on its aggregate capital contributions.</w:t>
      </w:r>
    </w:p>
    <w:p>
      <w:pPr>
        <w:pStyle w:val="ListBullet"/>
        <w:ind w:left="720"/>
      </w:pPr>
      <w:r>
        <w:rPr>
          <w:b/>
          <w:color w:val="1F4E78"/>
          <w:sz w:val="22"/>
        </w:rPr>
        <w:t>Tier 4 – Secondary Promote:</w:t>
      </w:r>
      <w:r>
        <w:rPr>
          <w:color w:val="333333"/>
          <w:sz w:val="22"/>
        </w:rPr>
        <w:t xml:space="preserve"> 60% to Apex Capital Partners LP and 40% to Evergreen Development Group LLC for all remaining proceeds.</w:t>
      </w:r>
    </w:p>
    <w:p>
      <w:pPr>
        <w:pStyle w:val="Heading2"/>
      </w:pPr>
      <w:r>
        <w:rPr>
          <w:color w:val="2E75B6"/>
          <w:sz w:val="30"/>
        </w:rPr>
        <w:t>Governance and Management</w:t>
      </w:r>
    </w:p>
    <w:p>
      <w:r>
        <w:rPr>
          <w:color w:val="333333"/>
          <w:sz w:val="22"/>
        </w:rPr>
        <w:t>The governance of the So-Good Apartments project is primarily dictated by the Operating Agreement of Springfield Multi-Family JV LLC and the contractual agreements with So-Good Apartments Owner LLC.</w:t>
      </w:r>
    </w:p>
    <w:p>
      <w:pPr>
        <w:pStyle w:val="ListBullet"/>
        <w:ind w:left="720"/>
      </w:pPr>
      <w:r>
        <w:rPr>
          <w:b/>
          <w:color w:val="1F4E78"/>
          <w:sz w:val="22"/>
        </w:rPr>
        <w:t>Evergreen Development Group LLC</w:t>
      </w:r>
      <w:r>
        <w:rPr>
          <w:color w:val="333333"/>
          <w:sz w:val="22"/>
        </w:rPr>
        <w:t xml:space="preserve"> (Sponsor) serves as the Managing Member of the JV, responsible for day-to-day project execution, budgeting, reporting, and lender compliance. Its principals will manage the Development Management and Property Management entities.</w:t>
      </w:r>
    </w:p>
    <w:p>
      <w:pPr>
        <w:pStyle w:val="ListBullet"/>
        <w:ind w:left="720"/>
      </w:pPr>
      <w:r>
        <w:rPr>
          <w:b/>
          <w:color w:val="1F4E78"/>
          <w:sz w:val="22"/>
        </w:rPr>
        <w:t>Apex Capital Partners LP</w:t>
      </w:r>
      <w:r>
        <w:rPr>
          <w:color w:val="333333"/>
          <w:sz w:val="22"/>
        </w:rPr>
        <w:t xml:space="preserve"> (Institutional Investor) as the Non-Managing Member, holds significant "Major Decision" consent rights, ensuring alignment on critical strategic matters, capital allocation, and risk management. This includes approval over annual budgets, material lease agreements, loan modifications, and any disposition of the asset.</w:t>
      </w:r>
    </w:p>
    <w:p>
      <w:pPr>
        <w:pStyle w:val="ListBullet"/>
        <w:ind w:left="720"/>
      </w:pPr>
      <w:r>
        <w:rPr>
          <w:b/>
          <w:color w:val="1F4E78"/>
          <w:sz w:val="22"/>
        </w:rPr>
        <w:t>Reporting:</w:t>
      </w:r>
      <w:r>
        <w:rPr>
          <w:color w:val="333333"/>
          <w:sz w:val="22"/>
        </w:rPr>
        <w:t xml:space="preserve"> Evergreen Development Group LLC is obligated to provide comprehensive quarterly financial statements, budget vs. actual reports, construction progress updates, and market analyses to Apex Capital Partners LP, in addition to required lender reporting.</w:t>
      </w:r>
    </w:p>
    <w:p>
      <w:pPr>
        <w:pStyle w:val="ListBullet"/>
        <w:ind w:left="720"/>
      </w:pPr>
      <w:r>
        <w:rPr>
          <w:b/>
          <w:color w:val="1F4E78"/>
          <w:sz w:val="22"/>
        </w:rPr>
        <w:t>Independent Special Member:</w:t>
      </w:r>
      <w:r>
        <w:rPr>
          <w:color w:val="333333"/>
          <w:sz w:val="22"/>
        </w:rPr>
        <w:t xml:space="preserve"> So-Good Apartments Owner LLC will have a designated independent special member (or director, if a corporate form were used), typically a corporate service provider, whose approval is required for any voluntary bankruptcy filing or other material actions that could prejudice the Senior Lender, further enhancing bankruptcy remoteness.</w:t>
      </w:r>
    </w:p>
    <w:p>
      <w:pPr>
        <w:pStyle w:val="Heading2"/>
      </w:pPr>
      <w:r>
        <w:rPr>
          <w:color w:val="2E75B6"/>
          <w:sz w:val="30"/>
        </w:rPr>
        <w:t>Key Legal and Commercial Considerations</w:t>
      </w:r>
    </w:p>
    <w:p>
      <w:r>
        <w:rPr>
          <w:color w:val="333333"/>
          <w:sz w:val="22"/>
        </w:rPr>
        <w:t xml:space="preserve">1.  </w:t>
      </w:r>
      <w:r>
        <w:rPr>
          <w:b/>
          <w:color w:val="1F4E78"/>
          <w:sz w:val="22"/>
        </w:rPr>
        <w:t>Tax Implications:</w:t>
      </w:r>
      <w:r>
        <w:rPr>
          <w:color w:val="333333"/>
          <w:sz w:val="22"/>
        </w:rPr>
        <w:t xml:space="preserve"> All entities are structured as pass-through entities (LLCs treated as partnerships for tax purposes), minimizing the tax burden at the entity level and allowing for efficient distribution of taxable income and losses to investors, who will receive K-1s. 2.  </w:t>
      </w:r>
      <w:r>
        <w:rPr>
          <w:b/>
          <w:color w:val="1F4E78"/>
          <w:sz w:val="22"/>
        </w:rPr>
        <w:t>Liability Shielding:</w:t>
      </w:r>
      <w:r>
        <w:rPr>
          <w:color w:val="333333"/>
          <w:sz w:val="22"/>
        </w:rPr>
        <w:t xml:space="preserve"> The multi-tiered LLC structure provides robust liability protection. Liabilities incurred by So-Good Apartments Owner LLC are generally ring-fenced at that level, protecting the assets of Springfield Multi-Family JV LLC and its members. Similarly, the LLC structure protects the individual principals of Evergreen Development Group LLC and the limited partners of Apex Capital Partners LP from direct project liabilities, beyond their capital contributions or specific guarantees. 3.  </w:t>
      </w:r>
      <w:r>
        <w:rPr>
          <w:b/>
          <w:color w:val="1F4E78"/>
          <w:sz w:val="22"/>
        </w:rPr>
        <w:t>Lender Requirements:</w:t>
      </w:r>
      <w:r>
        <w:rPr>
          <w:color w:val="333333"/>
          <w:sz w:val="22"/>
        </w:rPr>
        <w:t xml:space="preserve"> The SPV structure for So-Good Apartments Owner LLC, coupled with specific covenants and guarantees, is designed to meet the rigorous underwriting standards of Mid-Atlantic Commercial Bank, minimizing perceived risk to the senior debt. 4.  </w:t>
      </w:r>
      <w:r>
        <w:rPr>
          <w:b/>
          <w:color w:val="1F4E78"/>
          <w:sz w:val="22"/>
        </w:rPr>
        <w:t>Exit Strategy:</w:t>
      </w:r>
      <w:r>
        <w:rPr>
          <w:color w:val="333333"/>
          <w:sz w:val="22"/>
        </w:rPr>
        <w:t xml:space="preserve"> The entity structure facilitates multiple exit strategies, including a sale of So-Good Apartments Owner LLC (or its underlying asset) or a refinancing of the Senior Loan. The clear waterfall distribution and governance provisions ensure an orderly process for unwinding or recapitalizing the investment. 5.  </w:t>
      </w:r>
      <w:r>
        <w:rPr>
          <w:b/>
          <w:color w:val="1F4E78"/>
          <w:sz w:val="22"/>
        </w:rPr>
        <w:t>Indemnification:</w:t>
      </w:r>
      <w:r>
        <w:rPr>
          <w:color w:val="333333"/>
          <w:sz w:val="22"/>
        </w:rPr>
        <w:t xml:space="preserve"> The Operating Agreement will contain standard indemnification provisions protecting the Managing Member and its affiliates from claims arising from actions taken in good faith in the ordinary course of business, subject to carve-outs for gross negligence, willful misconduct, or fraud.</w:t>
      </w:r>
    </w:p>
    <w:p>
      <w:pPr>
        <w:pStyle w:val="Heading2"/>
      </w:pPr>
      <w:r>
        <w:rPr>
          <w:color w:val="2E75B6"/>
          <w:sz w:val="30"/>
        </w:rPr>
        <w:t>Conclusion</w:t>
      </w:r>
    </w:p>
    <w:p>
      <w:r>
        <w:rPr>
          <w:color w:val="333333"/>
          <w:sz w:val="22"/>
        </w:rPr>
        <w:t>The proposed entity structure for So-Good Apartments, meticulously crafted to adhere to advanced commercial real estate principles, legal best practices, and sophisticated underwriting requirements, presents a robust and efficient framework for a $65,000,000.00 multi-family development. By strategically deploying a Delaware-domiciled joint venture LLC above a State of Incorporation-domiciled SPV owner LLC, while clearly defining roles, financial obligations, and governance mechanisms, this structure successfully mitigates risk, optimizes capital allocation, and establishes a clear path for the project's development, operation, and eventual realization of value for all stakeholders. This architecture stands as a testament to diligent planning and comprehensive legal and financial engineering.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