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PRINCIPALS</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1"/>
      </w:pPr>
      <w:r>
        <w:rPr>
          <w:color w:val="1F4E78"/>
          <w:sz w:val="36"/>
        </w:rPr>
        <w:t>FORMAL PRINCIPALS' INVESTMENT MEMORANDUM</w:t>
      </w:r>
    </w:p>
    <w:p>
      <w:pPr>
        <w:pStyle w:val="Heading2"/>
      </w:pPr>
      <w:r>
        <w:rPr>
          <w:color w:val="2E75B6"/>
          <w:sz w:val="30"/>
        </w:rPr>
        <w:t>DATE: November 14, 2023</w:t>
      </w:r>
    </w:p>
    <w:p>
      <w:pPr>
        <w:pStyle w:val="Heading2"/>
      </w:pPr>
      <w:r>
        <w:rPr>
          <w:color w:val="2E75B6"/>
          <w:sz w:val="30"/>
        </w:rPr>
        <w:t>TO: Investment Committee; Managing Partners</w:t>
      </w:r>
    </w:p>
    <w:p>
      <w:pPr>
        <w:pStyle w:val="Heading2"/>
      </w:pPr>
      <w:r>
        <w:rPr>
          <w:color w:val="2E75B6"/>
          <w:sz w:val="30"/>
        </w:rPr>
        <w:t>FROM: [Your Name/Department], Senior Underwriter &amp; Legal Counsel</w:t>
      </w:r>
    </w:p>
    <w:p>
      <w:pPr>
        <w:pStyle w:val="Heading2"/>
      </w:pPr>
      <w:r>
        <w:rPr>
          <w:color w:val="2E75B6"/>
          <w:sz w:val="30"/>
        </w:rPr>
        <w:t>SUBJECT: Underwriting Review and Investment Recommendation for So-Good Apartments, Springfield, Project ID: SG-SF-2023-01</w:t>
      </w:r>
    </w:p>
    <w:p>
      <w:pPr>
        <w:jc w:val="center"/>
      </w:pPr>
      <w:r>
        <w:rPr>
          <w:color w:val="CCCCCC"/>
          <w:sz w:val="12"/>
        </w:rPr>
        <w:t>────────────────────────────────────────────────────────────────────────────────</w:t>
      </w:r>
    </w:p>
    <w:p>
      <w:pPr>
        <w:pStyle w:val="Heading2"/>
      </w:pPr>
      <w:r>
        <w:rPr>
          <w:color w:val="2E75B6"/>
          <w:sz w:val="30"/>
        </w:rPr>
        <w:t>1. EXECUTIVE SUMMARY</w:t>
      </w:r>
    </w:p>
    <w:p>
      <w:r>
        <w:rPr>
          <w:color w:val="333333"/>
          <w:sz w:val="22"/>
        </w:rPr>
        <w:t xml:space="preserve">This memorandum presents a comprehensive underwriting analysis and formal recommendation for the proposed acquisition, development, and stabilization of "So-Good Apartments," a 250-unit Class A multifamily development located at 123 Main Street, Springfield. The project is sponsored by Exemplar Development Group LLC ("Sponsor"). Our analysis confirms a total project cost of </w:t>
      </w:r>
      <w:r>
        <w:rPr>
          <w:b/>
          <w:color w:val="1F4E78"/>
          <w:sz w:val="22"/>
        </w:rPr>
        <w:t>$65,000,000</w:t>
      </w:r>
      <w:r>
        <w:rPr>
          <w:color w:val="333333"/>
          <w:sz w:val="22"/>
        </w:rPr>
        <w:t xml:space="preserve">, with a proposed capital stack comprising </w:t>
      </w:r>
      <w:r>
        <w:rPr>
          <w:b/>
          <w:color w:val="1F4E78"/>
          <w:sz w:val="22"/>
        </w:rPr>
        <w:t>$20,000,000</w:t>
      </w:r>
      <w:r>
        <w:rPr>
          <w:color w:val="333333"/>
          <w:sz w:val="22"/>
        </w:rPr>
        <w:t xml:space="preserve"> in equity and </w:t>
      </w:r>
      <w:r>
        <w:rPr>
          <w:b/>
          <w:color w:val="1F4E78"/>
          <w:sz w:val="22"/>
        </w:rPr>
        <w:t>$45,000,000</w:t>
      </w:r>
      <w:r>
        <w:rPr>
          <w:color w:val="333333"/>
          <w:sz w:val="22"/>
        </w:rPr>
        <w:t xml:space="preserve"> in construction financing. Based on robust market fundamentals, conservative financial projections, a proven sponsor track record, and a carefully structured legal framework, we recommend proceeding with this investment opportunity, subject to the detailed terms and conditions outlined herein. The projected leveraged Internal Rate of Return (IRR) to equity investors is </w:t>
      </w:r>
      <w:r>
        <w:rPr>
          <w:b/>
          <w:color w:val="1F4E78"/>
          <w:sz w:val="22"/>
        </w:rPr>
        <w:t>18.5%</w:t>
      </w:r>
      <w:r>
        <w:rPr>
          <w:color w:val="333333"/>
          <w:sz w:val="22"/>
        </w:rPr>
        <w:t xml:space="preserve"> over a five-year hold period, with a stabilized valuation demonstrating a strong loan-to-value (LTV) ratio.</w:t>
      </w:r>
    </w:p>
    <w:p>
      <w:pPr>
        <w:pStyle w:val="Heading2"/>
      </w:pPr>
      <w:r>
        <w:rPr>
          <w:color w:val="2E75B6"/>
          <w:sz w:val="30"/>
        </w:rPr>
        <w:t>2. PROJECT DESCRIPTION &amp; LOCATION ANALYSIS</w:t>
      </w:r>
    </w:p>
    <w:p>
      <w:pPr>
        <w:pStyle w:val="Heading3"/>
      </w:pPr>
      <w:r>
        <w:rPr>
          <w:color w:val="2E75B6"/>
          <w:sz w:val="26"/>
        </w:rPr>
        <w:t>2.1. Property Overview</w:t>
      </w:r>
    </w:p>
    <w:p>
      <w:r>
        <w:rPr>
          <w:color w:val="333333"/>
          <w:sz w:val="22"/>
        </w:rPr>
        <w:t>So-Good Apartments is a proposed ground-up development consisting of one (1) six-story building featuring 250 luxury multifamily residential units alongside 7,500 square feet of ground-floor retail/commercial space. The project will include premium amenities such as a state-of-the-art fitness center, rooftop lounge, co-working spaces, dog park, and structured parking for 300 vehicles. The unit mix is diversified:</w:t>
      </w:r>
    </w:p>
    <w:p>
      <w:pPr>
        <w:pStyle w:val="ListBullet"/>
        <w:ind w:left="720"/>
      </w:pPr>
      <w:r>
        <w:rPr>
          <w:b/>
          <w:color w:val="1F4E78"/>
          <w:sz w:val="22"/>
        </w:rPr>
        <w:t>125 units (50%):</w:t>
      </w:r>
      <w:r>
        <w:rPr>
          <w:color w:val="333333"/>
          <w:sz w:val="22"/>
        </w:rPr>
        <w:t xml:space="preserve"> 1-Bedroom / 1-Bathroom (avg. 750 SF)</w:t>
      </w:r>
    </w:p>
    <w:p>
      <w:pPr>
        <w:pStyle w:val="ListBullet"/>
        <w:ind w:left="720"/>
      </w:pPr>
      <w:r>
        <w:rPr>
          <w:b/>
          <w:color w:val="1F4E78"/>
          <w:sz w:val="22"/>
        </w:rPr>
        <w:t>100 units (40%):</w:t>
      </w:r>
      <w:r>
        <w:rPr>
          <w:color w:val="333333"/>
          <w:sz w:val="22"/>
        </w:rPr>
        <w:t xml:space="preserve"> 2-Bedroom / 2-Bathroom (avg. 950 SF)</w:t>
      </w:r>
    </w:p>
    <w:p>
      <w:pPr>
        <w:pStyle w:val="ListBullet"/>
        <w:ind w:left="720"/>
      </w:pPr>
      <w:r>
        <w:rPr>
          <w:b/>
          <w:color w:val="1F4E78"/>
          <w:sz w:val="22"/>
        </w:rPr>
        <w:t>25 units (10%):</w:t>
      </w:r>
      <w:r>
        <w:rPr>
          <w:color w:val="333333"/>
          <w:sz w:val="22"/>
        </w:rPr>
        <w:t xml:space="preserve"> 3-Bedroom / 2-Bathroom (avg. 1,200 SF)</w:t>
      </w:r>
    </w:p>
    <w:p>
      <w:r>
        <w:rPr>
          <w:color w:val="333333"/>
          <w:sz w:val="22"/>
        </w:rPr>
        <w:t>The average unit size is approximately 875 SF. Construction is anticipated to commence Q2 2024, with a 24-month construction period, targeting initial occupancy in Q2 2026 and stabilization by Q2 2027. The project has secured all necessary zoning approvals for its R-4 (High-Density Residential) designation and holds preliminary site plan approval.</w:t>
      </w:r>
    </w:p>
    <w:p>
      <w:pPr>
        <w:pStyle w:val="Heading3"/>
      </w:pPr>
      <w:r>
        <w:rPr>
          <w:color w:val="2E75B6"/>
          <w:sz w:val="26"/>
        </w:rPr>
        <w:t>2.2. Location and Market Fundamentals</w:t>
      </w:r>
    </w:p>
    <w:p>
      <w:r>
        <w:rPr>
          <w:color w:val="333333"/>
          <w:sz w:val="22"/>
        </w:rPr>
        <w:t>The property is strategically located at 123 Main Street, Springfield, within the burgeoning Downtown Revitalization Zone. This submarket exhibits strong demographic trends, characterized by above-average income growth and a declining vacancy rate for Class A multifamily product (currently estimated at 4.2%). Key demand drivers include proximity to major employment hubs (e.g., Tech Park, Medical District), public transit lines (Springfield Metro Station 0.5 miles), and an array of retail, dining, and entertainment options. Our market study indicates a supply-demand imbalance, with limited new Class A deliveries projected in the near-term that directly compete with the proposed scale and amenity package of So-Good Apartments. Average achieved rents for comparable Class A properties within a 1-mile radius are $2.60/SF, supporting our pro forma rent assumptions.</w:t>
      </w:r>
    </w:p>
    <w:p>
      <w:pPr>
        <w:pStyle w:val="Heading2"/>
      </w:pPr>
      <w:r>
        <w:rPr>
          <w:color w:val="2E75B6"/>
          <w:sz w:val="30"/>
        </w:rPr>
        <w:t>3. SPONSOR PROFILE: EXEMPLAR DEVELOPMENT GROUP LLC</w:t>
      </w:r>
    </w:p>
    <w:p>
      <w:r>
        <w:rPr>
          <w:color w:val="333333"/>
          <w:sz w:val="22"/>
        </w:rPr>
        <w:t xml:space="preserve">Exemplar Development Group LLC has been actively developing multifamily and mixed-use properties in the region for over 15 years. The principals, Mr. John Doe and Ms. Jane Smith, possess a robust track record of successful ground-up developments, completing over $750M in projects, consistently delivering on budget and schedule. Their expertise encompasses site acquisition, entitlement, construction management, and asset stabilization. The Sponsor has committed to a </w:t>
      </w:r>
      <w:r>
        <w:rPr>
          <w:b/>
          <w:color w:val="1F4E78"/>
          <w:sz w:val="22"/>
        </w:rPr>
        <w:t>$2,000,000</w:t>
      </w:r>
      <w:r>
        <w:rPr>
          <w:color w:val="333333"/>
          <w:sz w:val="22"/>
        </w:rPr>
        <w:t xml:space="preserve"> direct equity contribution and will provide standard carve-out guarantees for fraud, misapplication of funds, environmental indemnities, and completion. Their pro forma debt service coverage performance on past projects has consistently exceeded 1.25x.</w:t>
      </w:r>
    </w:p>
    <w:p>
      <w:pPr>
        <w:pStyle w:val="Heading2"/>
      </w:pPr>
      <w:r>
        <w:rPr>
          <w:color w:val="2E75B6"/>
          <w:sz w:val="30"/>
        </w:rPr>
        <w:t>4. PROJECT COSTS AND CAPITAL STRUCTURE</w:t>
      </w:r>
    </w:p>
    <w:p>
      <w:r>
        <w:rPr>
          <w:color w:val="333333"/>
          <w:sz w:val="22"/>
        </w:rPr>
        <w:t xml:space="preserve">The total project cost is </w:t>
      </w:r>
      <w:r>
        <w:rPr>
          <w:b/>
          <w:color w:val="1F4E78"/>
          <w:sz w:val="22"/>
        </w:rPr>
        <w:t>$65,000,000</w:t>
      </w:r>
      <w:r>
        <w:rPr>
          <w:color w:val="333333"/>
          <w:sz w:val="22"/>
        </w:rPr>
        <w:t>, detailed as follows:</w:t>
      </w:r>
    </w:p>
    <w:p>
      <w:pPr>
        <w:pStyle w:val="ListBullet"/>
        <w:ind w:left="720"/>
      </w:pPr>
      <w:r>
        <w:rPr>
          <w:b/>
          <w:color w:val="1F4E78"/>
          <w:sz w:val="22"/>
        </w:rPr>
        <w:t>Land Acquisition Cost:</w:t>
      </w:r>
      <w:r>
        <w:rPr>
          <w:color w:val="333333"/>
          <w:sz w:val="22"/>
        </w:rPr>
        <w:t xml:space="preserve"> $7,500,000</w:t>
      </w:r>
    </w:p>
    <w:p>
      <w:pPr>
        <w:pStyle w:val="ListBullet"/>
        <w:ind w:left="720"/>
      </w:pPr>
      <w:r>
        <w:rPr>
          <w:b/>
          <w:color w:val="1F4E78"/>
          <w:sz w:val="22"/>
        </w:rPr>
        <w:t>Hard Costs (Construction):</w:t>
      </w:r>
      <w:r>
        <w:rPr>
          <w:color w:val="333333"/>
          <w:sz w:val="22"/>
        </w:rPr>
        <w:t xml:space="preserve"> $42,500,000</w:t>
      </w:r>
    </w:p>
    <w:p>
      <w:pPr>
        <w:pStyle w:val="ListBullet"/>
        <w:ind w:left="720"/>
      </w:pPr>
      <w:r>
        <w:rPr>
          <w:b/>
          <w:color w:val="1F4E78"/>
          <w:sz w:val="22"/>
        </w:rPr>
        <w:t>Soft Costs (Architecture, Engineering, Legal, Permits, Fees):</w:t>
      </w:r>
      <w:r>
        <w:rPr>
          <w:color w:val="333333"/>
          <w:sz w:val="22"/>
        </w:rPr>
        <w:t xml:space="preserve"> $8,000,000</w:t>
      </w:r>
    </w:p>
    <w:p>
      <w:pPr>
        <w:pStyle w:val="ListBullet"/>
        <w:ind w:left="720"/>
      </w:pPr>
      <w:r>
        <w:rPr>
          <w:b/>
          <w:color w:val="1F4E78"/>
          <w:sz w:val="22"/>
        </w:rPr>
        <w:t>Tenant Improvements &amp; FF&amp;E (Residential &amp; Retail):</w:t>
      </w:r>
      <w:r>
        <w:rPr>
          <w:color w:val="333333"/>
          <w:sz w:val="22"/>
        </w:rPr>
        <w:t xml:space="preserve"> $1,500,000</w:t>
      </w:r>
    </w:p>
    <w:p>
      <w:pPr>
        <w:pStyle w:val="ListBullet"/>
        <w:ind w:left="720"/>
      </w:pPr>
      <w:r>
        <w:rPr>
          <w:b/>
          <w:color w:val="1F4E78"/>
          <w:sz w:val="22"/>
        </w:rPr>
        <w:t>Contingency (7% of Hard/Soft Costs):</w:t>
      </w:r>
      <w:r>
        <w:rPr>
          <w:color w:val="333333"/>
          <w:sz w:val="22"/>
        </w:rPr>
        <w:t xml:space="preserve"> $3,535,000</w:t>
      </w:r>
    </w:p>
    <w:p>
      <w:pPr>
        <w:pStyle w:val="ListBullet"/>
        <w:ind w:left="720"/>
      </w:pPr>
      <w:r>
        <w:rPr>
          <w:b/>
          <w:color w:val="1F4E78"/>
          <w:sz w:val="22"/>
        </w:rPr>
        <w:t>Financing Costs (Loan Fees, Interest Reserve, Legal):</w:t>
      </w:r>
      <w:r>
        <w:rPr>
          <w:color w:val="333333"/>
          <w:sz w:val="22"/>
        </w:rPr>
        <w:t xml:space="preserve"> $1,965,000</w:t>
      </w:r>
    </w:p>
    <w:p>
      <w:pPr>
        <w:pStyle w:val="ListBullet"/>
        <w:ind w:left="720"/>
      </w:pPr>
      <w:r>
        <w:rPr>
          <w:b/>
          <w:color w:val="1F4E78"/>
          <w:sz w:val="22"/>
        </w:rPr>
        <w:t>TOTAL PROJECT COST:</w:t>
      </w:r>
      <w:r>
        <w:rPr>
          <w:color w:val="333333"/>
          <w:sz w:val="22"/>
        </w:rPr>
        <w:t xml:space="preserve"> </w:t>
      </w:r>
      <w:r>
        <w:rPr>
          <w:b/>
          <w:color w:val="1F4E78"/>
          <w:sz w:val="22"/>
        </w:rPr>
        <w:t>$65,000,000</w:t>
      </w:r>
    </w:p>
    <w:p>
      <w:r>
        <w:rPr>
          <w:color w:val="333333"/>
          <w:sz w:val="22"/>
        </w:rPr>
        <w:t>The proposed capital stack is structured as:</w:t>
      </w:r>
    </w:p>
    <w:p>
      <w:pPr>
        <w:pStyle w:val="ListBullet"/>
        <w:ind w:left="720"/>
      </w:pPr>
      <w:r>
        <w:rPr>
          <w:b/>
          <w:color w:val="1F4E78"/>
          <w:sz w:val="22"/>
        </w:rPr>
        <w:t>LP Equity Investment:</w:t>
      </w:r>
      <w:r>
        <w:rPr>
          <w:color w:val="333333"/>
          <w:sz w:val="22"/>
        </w:rPr>
        <w:t xml:space="preserve"> $18,000,000 (27.7% of total cost)</w:t>
      </w:r>
    </w:p>
    <w:p>
      <w:pPr>
        <w:pStyle w:val="ListBullet"/>
        <w:ind w:left="720"/>
      </w:pPr>
      <w:r>
        <w:rPr>
          <w:b/>
          <w:color w:val="1F4E78"/>
          <w:sz w:val="22"/>
        </w:rPr>
        <w:t>Sponsor Equity Contribution:</w:t>
      </w:r>
      <w:r>
        <w:rPr>
          <w:color w:val="333333"/>
          <w:sz w:val="22"/>
        </w:rPr>
        <w:t xml:space="preserve"> $2,000,000 (3.1% of total cost)</w:t>
      </w:r>
    </w:p>
    <w:p>
      <w:pPr>
        <w:pStyle w:val="ListBullet"/>
        <w:ind w:left="720"/>
      </w:pPr>
      <w:r>
        <w:rPr>
          <w:b/>
          <w:color w:val="1F4E78"/>
          <w:sz w:val="22"/>
        </w:rPr>
        <w:t>Construction Loan (Senior Debt):</w:t>
      </w:r>
      <w:r>
        <w:rPr>
          <w:color w:val="333333"/>
          <w:sz w:val="22"/>
        </w:rPr>
        <w:t xml:space="preserve"> $45,000,000 (69.2% of total cost)</w:t>
      </w:r>
    </w:p>
    <w:p>
      <w:pPr>
        <w:pStyle w:val="ListBullet"/>
        <w:ind w:left="720"/>
      </w:pPr>
      <w:r>
        <w:rPr>
          <w:b/>
          <w:color w:val="1F4E78"/>
          <w:sz w:val="22"/>
        </w:rPr>
        <w:t>TOTAL CAPITALIZATION:</w:t>
      </w:r>
      <w:r>
        <w:rPr>
          <w:color w:val="333333"/>
          <w:sz w:val="22"/>
        </w:rPr>
        <w:t xml:space="preserve"> </w:t>
      </w:r>
      <w:r>
        <w:rPr>
          <w:b/>
          <w:color w:val="1F4E78"/>
          <w:sz w:val="22"/>
        </w:rPr>
        <w:t>$65,000,000</w:t>
      </w:r>
    </w:p>
    <w:p>
      <w:r>
        <w:rPr>
          <w:color w:val="333333"/>
          <w:sz w:val="22"/>
        </w:rPr>
        <w:t xml:space="preserve">The construction loan will be a senior, recourse facility with an initial interest rate of SOFR + 275 basis points, interest-only during the construction and lease-up period, converting to a 30-year amortization schedule upon stabilization. The loan carries a 36-month term with a 12-month extension option, subject to certain performance conditions. The Loan-to-Cost (LTC) ratio is </w:t>
      </w:r>
      <w:r>
        <w:rPr>
          <w:b/>
          <w:color w:val="1F4E78"/>
          <w:sz w:val="22"/>
        </w:rPr>
        <w:t>69.2%</w:t>
      </w:r>
      <w:r>
        <w:rPr>
          <w:color w:val="333333"/>
          <w:sz w:val="22"/>
        </w:rPr>
        <w:t>, which is well within our acceptable risk parameters for a pre-leased, high-quality development in a strong market.</w:t>
      </w:r>
    </w:p>
    <w:p>
      <w:pPr>
        <w:pStyle w:val="Heading2"/>
      </w:pPr>
      <w:r>
        <w:rPr>
          <w:color w:val="2E75B6"/>
          <w:sz w:val="30"/>
        </w:rPr>
        <w:t>5. FINANCIAL PROJECTIONS AND UNDERWRITING ASSUMPTIONS</w:t>
      </w:r>
    </w:p>
    <w:p>
      <w:r>
        <w:rPr>
          <w:color w:val="333333"/>
          <w:sz w:val="22"/>
        </w:rPr>
        <w:t>Our underwriting is based on conservative pro forma assumptions, detailed below:</w:t>
      </w:r>
    </w:p>
    <w:p>
      <w:pPr>
        <w:pStyle w:val="Heading3"/>
      </w:pPr>
      <w:r>
        <w:rPr>
          <w:color w:val="2E75B6"/>
          <w:sz w:val="26"/>
        </w:rPr>
        <w:t>5.1. Revenue Assumptions (Stabilized)</w:t>
      </w:r>
    </w:p>
    <w:p>
      <w:pPr>
        <w:pStyle w:val="ListBullet"/>
        <w:ind w:left="720"/>
      </w:pPr>
      <w:r>
        <w:rPr>
          <w:b/>
          <w:color w:val="1F4E78"/>
          <w:sz w:val="22"/>
        </w:rPr>
        <w:t>Average Blended Residential Rent:</w:t>
      </w:r>
      <w:r>
        <w:rPr>
          <w:color w:val="333333"/>
          <w:sz w:val="22"/>
        </w:rPr>
        <w:t xml:space="preserve"> $2.45 per SF (Year 1 stabilization)</w:t>
      </w:r>
    </w:p>
    <w:p>
      <w:pPr>
        <w:pStyle w:val="ListBullet"/>
        <w:ind w:left="1080"/>
      </w:pPr>
      <w:r>
        <w:rPr>
          <w:color w:val="333333"/>
          <w:sz w:val="22"/>
        </w:rPr>
        <w:t>1BR: $1,837.50/month ($2.45/SF * 750 SF)</w:t>
      </w:r>
    </w:p>
    <w:p>
      <w:pPr>
        <w:pStyle w:val="ListBullet"/>
        <w:ind w:left="1080"/>
      </w:pPr>
      <w:r>
        <w:rPr>
          <w:color w:val="333333"/>
          <w:sz w:val="22"/>
        </w:rPr>
        <w:t>2BR: $2,327.50/month ($2.45/SF * 950 SF)</w:t>
      </w:r>
    </w:p>
    <w:p>
      <w:pPr>
        <w:pStyle w:val="ListBullet"/>
        <w:ind w:left="1080"/>
      </w:pPr>
      <w:r>
        <w:rPr>
          <w:color w:val="333333"/>
          <w:sz w:val="22"/>
        </w:rPr>
        <w:t>3BR: $2,940.00/month ($2.45/SF * 1200 SF)</w:t>
      </w:r>
    </w:p>
    <w:p>
      <w:pPr>
        <w:pStyle w:val="ListBullet"/>
        <w:ind w:left="720"/>
      </w:pPr>
      <w:r>
        <w:rPr>
          <w:b/>
          <w:color w:val="1F4E78"/>
          <w:sz w:val="22"/>
        </w:rPr>
        <w:t>Average Effective Residential Rent per unit:</w:t>
      </w:r>
      <w:r>
        <w:rPr>
          <w:color w:val="333333"/>
          <w:sz w:val="22"/>
        </w:rPr>
        <w:t xml:space="preserve"> $2,143/month (blended)</w:t>
      </w:r>
    </w:p>
    <w:p>
      <w:pPr>
        <w:pStyle w:val="ListBullet"/>
        <w:ind w:left="720"/>
      </w:pPr>
      <w:r>
        <w:rPr>
          <w:b/>
          <w:color w:val="1F4E78"/>
          <w:sz w:val="22"/>
        </w:rPr>
        <w:t>Gross Potential Residential Rent (GPR):</w:t>
      </w:r>
      <w:r>
        <w:rPr>
          <w:color w:val="333333"/>
          <w:sz w:val="22"/>
        </w:rPr>
        <w:t xml:space="preserve"> $6,429,000 per annum</w:t>
      </w:r>
    </w:p>
    <w:p>
      <w:pPr>
        <w:pStyle w:val="ListBullet"/>
        <w:ind w:left="720"/>
      </w:pPr>
      <w:r>
        <w:rPr>
          <w:b/>
          <w:color w:val="1F4E78"/>
          <w:sz w:val="22"/>
        </w:rPr>
        <w:t>Economic Vacancy &amp; Credit Loss:</w:t>
      </w:r>
      <w:r>
        <w:rPr>
          <w:color w:val="333333"/>
          <w:sz w:val="22"/>
        </w:rPr>
        <w:t xml:space="preserve"> 7.0% (5.0% physical vacancy, 2.0% credit loss/concessions)</w:t>
      </w:r>
    </w:p>
    <w:p>
      <w:pPr>
        <w:pStyle w:val="ListBullet"/>
        <w:ind w:left="720"/>
      </w:pPr>
      <w:r>
        <w:rPr>
          <w:b/>
          <w:color w:val="1F4E78"/>
          <w:sz w:val="22"/>
        </w:rPr>
        <w:t>Effective Gross Income (EGI):</w:t>
      </w:r>
      <w:r>
        <w:rPr>
          <w:color w:val="333333"/>
          <w:sz w:val="22"/>
        </w:rPr>
        <w:t xml:space="preserve"> $5,979,900</w:t>
      </w:r>
    </w:p>
    <w:p>
      <w:pPr>
        <w:pStyle w:val="ListBullet"/>
        <w:ind w:left="720"/>
      </w:pPr>
      <w:r>
        <w:rPr>
          <w:b/>
          <w:color w:val="1F4E78"/>
          <w:sz w:val="22"/>
        </w:rPr>
        <w:t>Retail Income (7,500 SF @ $30/SF NNN):</w:t>
      </w:r>
      <w:r>
        <w:rPr>
          <w:color w:val="333333"/>
          <w:sz w:val="22"/>
        </w:rPr>
        <w:t xml:space="preserve"> $225,000 per annum</w:t>
      </w:r>
    </w:p>
    <w:p>
      <w:pPr>
        <w:pStyle w:val="ListBullet"/>
        <w:ind w:left="720"/>
      </w:pPr>
      <w:r>
        <w:rPr>
          <w:b/>
          <w:color w:val="1F4E78"/>
          <w:sz w:val="22"/>
        </w:rPr>
        <w:t>Ancillary Income (Parking, Pet Fees, etc.):</w:t>
      </w:r>
      <w:r>
        <w:rPr>
          <w:color w:val="333333"/>
          <w:sz w:val="22"/>
        </w:rPr>
        <w:t xml:space="preserve"> $180,000 per annum</w:t>
      </w:r>
    </w:p>
    <w:p>
      <w:pPr>
        <w:pStyle w:val="ListBullet"/>
        <w:ind w:left="720"/>
      </w:pPr>
      <w:r>
        <w:rPr>
          <w:b/>
          <w:color w:val="1F4E78"/>
          <w:sz w:val="22"/>
        </w:rPr>
        <w:t>TOTAL EFFECTIVE GROSS INCOME (Total EGI):</w:t>
      </w:r>
      <w:r>
        <w:rPr>
          <w:color w:val="333333"/>
          <w:sz w:val="22"/>
        </w:rPr>
        <w:t xml:space="preserve"> </w:t>
      </w:r>
      <w:r>
        <w:rPr>
          <w:b/>
          <w:color w:val="1F4E78"/>
          <w:sz w:val="22"/>
        </w:rPr>
        <w:t>$6,384,900</w:t>
      </w:r>
    </w:p>
    <w:p>
      <w:pPr>
        <w:pStyle w:val="Heading3"/>
      </w:pPr>
      <w:r>
        <w:rPr>
          <w:color w:val="2E75B6"/>
          <w:sz w:val="26"/>
        </w:rPr>
        <w:t>5.2. Operating Expenses (Stabilized)</w:t>
      </w:r>
    </w:p>
    <w:p>
      <w:pPr>
        <w:pStyle w:val="ListBullet"/>
        <w:ind w:left="720"/>
      </w:pPr>
      <w:r>
        <w:rPr>
          <w:b/>
          <w:color w:val="1F4E78"/>
          <w:sz w:val="22"/>
        </w:rPr>
        <w:t>Property Taxes:</w:t>
      </w:r>
      <w:r>
        <w:rPr>
          <w:color w:val="333333"/>
          <w:sz w:val="22"/>
        </w:rPr>
        <w:t xml:space="preserve"> $1,050,000 (approx. $4,200/unit; based on 1.6% of projected stabilized value, after abatements)</w:t>
      </w:r>
    </w:p>
    <w:p>
      <w:pPr>
        <w:pStyle w:val="ListBullet"/>
        <w:ind w:left="720"/>
      </w:pPr>
      <w:r>
        <w:rPr>
          <w:b/>
          <w:color w:val="1F4E78"/>
          <w:sz w:val="22"/>
        </w:rPr>
        <w:t>Insurance:</w:t>
      </w:r>
      <w:r>
        <w:rPr>
          <w:color w:val="333333"/>
          <w:sz w:val="22"/>
        </w:rPr>
        <w:t xml:space="preserve"> $175,000</w:t>
      </w:r>
    </w:p>
    <w:p>
      <w:pPr>
        <w:pStyle w:val="ListBullet"/>
        <w:ind w:left="720"/>
      </w:pPr>
      <w:r>
        <w:rPr>
          <w:b/>
          <w:color w:val="1F4E78"/>
          <w:sz w:val="22"/>
        </w:rPr>
        <w:t>Utilities:</w:t>
      </w:r>
      <w:r>
        <w:rPr>
          <w:color w:val="333333"/>
          <w:sz w:val="22"/>
        </w:rPr>
        <w:t xml:space="preserve"> $225,000</w:t>
      </w:r>
    </w:p>
    <w:p>
      <w:pPr>
        <w:pStyle w:val="ListBullet"/>
        <w:ind w:left="720"/>
      </w:pPr>
      <w:r>
        <w:rPr>
          <w:b/>
          <w:color w:val="1F4E78"/>
          <w:sz w:val="22"/>
        </w:rPr>
        <w:t>Repairs &amp; Maintenance:</w:t>
      </w:r>
      <w:r>
        <w:rPr>
          <w:color w:val="333333"/>
          <w:sz w:val="22"/>
        </w:rPr>
        <w:t xml:space="preserve"> $150,000</w:t>
      </w:r>
    </w:p>
    <w:p>
      <w:pPr>
        <w:pStyle w:val="ListBullet"/>
        <w:ind w:left="720"/>
      </w:pPr>
      <w:r>
        <w:rPr>
          <w:b/>
          <w:color w:val="1F4E78"/>
          <w:sz w:val="22"/>
        </w:rPr>
        <w:t>Management Fees:</w:t>
      </w:r>
      <w:r>
        <w:rPr>
          <w:color w:val="333333"/>
          <w:sz w:val="22"/>
        </w:rPr>
        <w:t xml:space="preserve"> $190,000 (3% of EGI)</w:t>
      </w:r>
    </w:p>
    <w:p>
      <w:pPr>
        <w:pStyle w:val="ListBullet"/>
        <w:ind w:left="720"/>
      </w:pPr>
      <w:r>
        <w:rPr>
          <w:b/>
          <w:color w:val="1F4E78"/>
          <w:sz w:val="22"/>
        </w:rPr>
        <w:t>Marketing &amp; Admin:</w:t>
      </w:r>
      <w:r>
        <w:rPr>
          <w:color w:val="333333"/>
          <w:sz w:val="22"/>
        </w:rPr>
        <w:t xml:space="preserve"> $100,000</w:t>
      </w:r>
    </w:p>
    <w:p>
      <w:pPr>
        <w:pStyle w:val="ListBullet"/>
        <w:ind w:left="720"/>
      </w:pPr>
      <w:r>
        <w:rPr>
          <w:b/>
          <w:color w:val="1F4E78"/>
          <w:sz w:val="22"/>
        </w:rPr>
        <w:t>TOTAL OPERATING EXPENSES (OpEx):</w:t>
      </w:r>
      <w:r>
        <w:rPr>
          <w:color w:val="333333"/>
          <w:sz w:val="22"/>
        </w:rPr>
        <w:t xml:space="preserve"> </w:t>
      </w:r>
      <w:r>
        <w:rPr>
          <w:b/>
          <w:color w:val="1F4E78"/>
          <w:sz w:val="22"/>
        </w:rPr>
        <w:t>$1,890,000</w:t>
      </w:r>
      <w:r>
        <w:rPr>
          <w:color w:val="333333"/>
          <w:sz w:val="22"/>
        </w:rPr>
        <w:t xml:space="preserve"> (approx. $7,560/unit)</w:t>
      </w:r>
    </w:p>
    <w:p>
      <w:pPr>
        <w:pStyle w:val="Heading3"/>
      </w:pPr>
      <w:r>
        <w:rPr>
          <w:color w:val="2E75B6"/>
          <w:sz w:val="26"/>
        </w:rPr>
        <w:t>5.3. Net Operating Income (NOI) &amp; Valuation</w:t>
      </w:r>
    </w:p>
    <w:p>
      <w:pPr>
        <w:pStyle w:val="ListBullet"/>
        <w:ind w:left="720"/>
      </w:pPr>
      <w:r>
        <w:rPr>
          <w:b/>
          <w:color w:val="1F4E78"/>
          <w:sz w:val="22"/>
        </w:rPr>
        <w:t>NET OPERATING INCOME (NOI):</w:t>
      </w:r>
      <w:r>
        <w:rPr>
          <w:color w:val="333333"/>
          <w:sz w:val="22"/>
        </w:rPr>
        <w:t xml:space="preserve"> </w:t>
      </w:r>
      <w:r>
        <w:rPr>
          <w:b/>
          <w:color w:val="1F4E78"/>
          <w:sz w:val="22"/>
        </w:rPr>
        <w:t>$4,494,900</w:t>
      </w:r>
      <w:r>
        <w:rPr>
          <w:color w:val="333333"/>
          <w:sz w:val="22"/>
        </w:rPr>
        <w:t xml:space="preserve"> (Total EGI - Total OpEx)</w:t>
      </w:r>
    </w:p>
    <w:p>
      <w:pPr>
        <w:pStyle w:val="ListBullet"/>
        <w:ind w:left="720"/>
      </w:pPr>
      <w:r>
        <w:rPr>
          <w:b/>
          <w:color w:val="1F4E78"/>
          <w:sz w:val="22"/>
        </w:rPr>
        <w:t>Stabilized Exit Capitalization Rate (Cap Rate):</w:t>
      </w:r>
      <w:r>
        <w:rPr>
          <w:color w:val="333333"/>
          <w:sz w:val="22"/>
        </w:rPr>
        <w:t xml:space="preserve"> 5.50% (Conservative, considering current market and product quality)</w:t>
      </w:r>
    </w:p>
    <w:p>
      <w:pPr>
        <w:pStyle w:val="ListBullet"/>
        <w:ind w:left="720"/>
      </w:pPr>
      <w:r>
        <w:rPr>
          <w:b/>
          <w:color w:val="1F4E78"/>
          <w:sz w:val="22"/>
        </w:rPr>
        <w:t>Stabilized Valuation:</w:t>
      </w:r>
      <w:r>
        <w:rPr>
          <w:color w:val="333333"/>
          <w:sz w:val="22"/>
        </w:rPr>
        <w:t xml:space="preserve"> </w:t>
      </w:r>
      <w:r>
        <w:rPr>
          <w:b/>
          <w:color w:val="1F4E78"/>
          <w:sz w:val="22"/>
        </w:rPr>
        <w:t>$81,725,454</w:t>
      </w:r>
      <w:r>
        <w:rPr>
          <w:color w:val="333333"/>
          <w:sz w:val="22"/>
        </w:rPr>
        <w:t xml:space="preserve"> (NOI / Exit Cap Rate)</w:t>
      </w:r>
    </w:p>
    <w:p>
      <w:pPr>
        <w:pStyle w:val="Heading3"/>
      </w:pPr>
      <w:r>
        <w:rPr>
          <w:color w:val="2E75B6"/>
          <w:sz w:val="26"/>
        </w:rPr>
        <w:t>5.4. Investment Metrics</w:t>
      </w:r>
    </w:p>
    <w:p>
      <w:pPr>
        <w:pStyle w:val="ListBullet"/>
        <w:ind w:left="720"/>
      </w:pPr>
      <w:r>
        <w:rPr>
          <w:b/>
          <w:color w:val="1F4E78"/>
          <w:sz w:val="22"/>
        </w:rPr>
        <w:t>Loan-to-Value (LTV) at Stabilization:</w:t>
      </w:r>
      <w:r>
        <w:rPr>
          <w:color w:val="333333"/>
          <w:sz w:val="22"/>
        </w:rPr>
        <w:t xml:space="preserve"> 55.0% ($45,000,000 / $81,725,454) - Indicates strong equity cushion.</w:t>
      </w:r>
    </w:p>
    <w:p>
      <w:pPr>
        <w:pStyle w:val="ListBullet"/>
        <w:ind w:left="720"/>
      </w:pPr>
      <w:r>
        <w:rPr>
          <w:b/>
          <w:color w:val="1F4E78"/>
          <w:sz w:val="22"/>
        </w:rPr>
        <w:t>Debt Service Coverage Ratio (DSCR):</w:t>
      </w:r>
      <w:r>
        <w:rPr>
          <w:color w:val="333333"/>
          <w:sz w:val="22"/>
        </w:rPr>
        <w:t xml:space="preserve"> 1.45x (NOI / Annual Debt Service of approx. $3,090,000 assuming 6.875% all-in rate) - Exceeds minimum threshold of 1.25x.</w:t>
      </w:r>
    </w:p>
    <w:p>
      <w:pPr>
        <w:pStyle w:val="ListBullet"/>
        <w:ind w:left="720"/>
      </w:pPr>
      <w:r>
        <w:rPr>
          <w:b/>
          <w:color w:val="1F4E78"/>
          <w:sz w:val="22"/>
        </w:rPr>
        <w:t>Projected Equity Multiple:</w:t>
      </w:r>
      <w:r>
        <w:rPr>
          <w:color w:val="333333"/>
          <w:sz w:val="22"/>
        </w:rPr>
        <w:t xml:space="preserve"> 1.83x (Over 5-year hold)</w:t>
      </w:r>
    </w:p>
    <w:p>
      <w:pPr>
        <w:pStyle w:val="ListBullet"/>
        <w:ind w:left="720"/>
      </w:pPr>
      <w:r>
        <w:rPr>
          <w:b/>
          <w:color w:val="1F4E78"/>
          <w:sz w:val="22"/>
        </w:rPr>
        <w:t>Projected Leveraged IRR (Equity):</w:t>
      </w:r>
      <w:r>
        <w:rPr>
          <w:color w:val="333333"/>
          <w:sz w:val="22"/>
        </w:rPr>
        <w:t xml:space="preserve"> </w:t>
      </w:r>
      <w:r>
        <w:rPr>
          <w:b/>
          <w:color w:val="1F4E78"/>
          <w:sz w:val="22"/>
        </w:rPr>
        <w:t>18.5%</w:t>
      </w:r>
    </w:p>
    <w:p>
      <w:pPr>
        <w:pStyle w:val="ListBullet"/>
        <w:ind w:left="720"/>
      </w:pPr>
      <w:r>
        <w:rPr>
          <w:b/>
          <w:color w:val="1F4E78"/>
          <w:sz w:val="22"/>
        </w:rPr>
        <w:t>Projected Unleveraged IRR (Project):</w:t>
      </w:r>
      <w:r>
        <w:rPr>
          <w:color w:val="333333"/>
          <w:sz w:val="22"/>
        </w:rPr>
        <w:t xml:space="preserve"> 12.1%</w:t>
      </w:r>
    </w:p>
    <w:p>
      <w:pPr>
        <w:pStyle w:val="Heading2"/>
      </w:pPr>
      <w:r>
        <w:rPr>
          <w:color w:val="2E75B6"/>
          <w:sz w:val="30"/>
        </w:rPr>
        <w:t>6. KEY RISKS AND MITIGATION STRATEGIES</w:t>
      </w:r>
    </w:p>
    <w:p>
      <w:pPr>
        <w:pStyle w:val="Heading3"/>
      </w:pPr>
      <w:r>
        <w:rPr>
          <w:color w:val="2E75B6"/>
          <w:sz w:val="26"/>
        </w:rPr>
        <w:t>6.1. Construction and Entitlement Risk</w:t>
      </w:r>
    </w:p>
    <w:p>
      <w:pPr>
        <w:pStyle w:val="ListBullet"/>
        <w:ind w:left="720"/>
      </w:pPr>
      <w:r>
        <w:rPr>
          <w:b/>
          <w:color w:val="1F4E78"/>
          <w:sz w:val="22"/>
        </w:rPr>
        <w:t>Risk:</w:t>
      </w:r>
      <w:r>
        <w:rPr>
          <w:color w:val="333333"/>
          <w:sz w:val="22"/>
        </w:rPr>
        <w:t xml:space="preserve"> Cost overruns, schedule delays, unforeseen site conditions, or permitting bottlenecks.</w:t>
      </w:r>
    </w:p>
    <w:p>
      <w:pPr>
        <w:pStyle w:val="ListBullet"/>
        <w:ind w:left="720"/>
      </w:pPr>
      <w:r>
        <w:rPr>
          <w:b/>
          <w:color w:val="1F4E78"/>
          <w:sz w:val="22"/>
        </w:rPr>
        <w:t>Mitigation:</w:t>
      </w:r>
      <w:r>
        <w:rPr>
          <w:color w:val="333333"/>
          <w:sz w:val="22"/>
        </w:rPr>
        <w:t xml:space="preserve"> Sponsor's robust track record and detailed construction budget with a </w:t>
      </w:r>
      <w:r>
        <w:rPr>
          <w:b/>
          <w:color w:val="1F4E78"/>
          <w:sz w:val="22"/>
        </w:rPr>
        <w:t>7% contingency</w:t>
      </w:r>
      <w:r>
        <w:rPr>
          <w:color w:val="333333"/>
          <w:sz w:val="22"/>
        </w:rPr>
        <w:t>. A fixed-price, maximum-guaranteed-price (GMP) contract with a reputable general contractor will be secured. All major entitlements are in place, reducing regulatory uncertainty. Construction loan draws will be subject to strict independent third-party inspection and review.</w:t>
      </w:r>
    </w:p>
    <w:p>
      <w:pPr>
        <w:pStyle w:val="Heading3"/>
      </w:pPr>
      <w:r>
        <w:rPr>
          <w:color w:val="2E75B6"/>
          <w:sz w:val="26"/>
        </w:rPr>
        <w:t>6.2. Lease-Up and Market Risk</w:t>
      </w:r>
    </w:p>
    <w:p>
      <w:pPr>
        <w:pStyle w:val="ListBullet"/>
        <w:ind w:left="720"/>
      </w:pPr>
      <w:r>
        <w:rPr>
          <w:b/>
          <w:color w:val="1F4E78"/>
          <w:sz w:val="22"/>
        </w:rPr>
        <w:t>Risk:</w:t>
      </w:r>
      <w:r>
        <w:rPr>
          <w:color w:val="333333"/>
          <w:sz w:val="22"/>
        </w:rPr>
        <w:t xml:space="preserve"> Slower-than-anticipated absorption, lower-than-projected rents, or increased competition leading to concessions.</w:t>
      </w:r>
    </w:p>
    <w:p>
      <w:pPr>
        <w:pStyle w:val="ListBullet"/>
        <w:ind w:left="720"/>
      </w:pPr>
      <w:r>
        <w:rPr>
          <w:b/>
          <w:color w:val="1F4E78"/>
          <w:sz w:val="22"/>
        </w:rPr>
        <w:t>Mitigation:</w:t>
      </w:r>
      <w:r>
        <w:rPr>
          <w:color w:val="333333"/>
          <w:sz w:val="22"/>
        </w:rPr>
        <w:t xml:space="preserve"> Market study confirms strong demand fundamentals and limited direct competition. Pro forma absorption rate (20 units/month) is conservative. Robust marketing budget and a reputable third-party property management firm with a strong local presence will be engaged. Interest reserve covers debt service during an extended lease-up period.</w:t>
      </w:r>
    </w:p>
    <w:p>
      <w:pPr>
        <w:pStyle w:val="Heading3"/>
      </w:pPr>
      <w:r>
        <w:rPr>
          <w:color w:val="2E75B6"/>
          <w:sz w:val="26"/>
        </w:rPr>
        <w:t>6.3. Interest Rate Risk</w:t>
      </w:r>
    </w:p>
    <w:p>
      <w:pPr>
        <w:pStyle w:val="ListBullet"/>
        <w:ind w:left="720"/>
      </w:pPr>
      <w:r>
        <w:rPr>
          <w:b/>
          <w:color w:val="1F4E78"/>
          <w:sz w:val="22"/>
        </w:rPr>
        <w:t>Risk:</w:t>
      </w:r>
      <w:r>
        <w:rPr>
          <w:color w:val="333333"/>
          <w:sz w:val="22"/>
        </w:rPr>
        <w:t xml:space="preserve"> Rising interest rates during the construction or stabilization period could impact the floating-rate construction loan or future refinancing options.</w:t>
      </w:r>
    </w:p>
    <w:p>
      <w:pPr>
        <w:pStyle w:val="ListBullet"/>
        <w:ind w:left="720"/>
      </w:pPr>
      <w:r>
        <w:rPr>
          <w:b/>
          <w:color w:val="1F4E78"/>
          <w:sz w:val="22"/>
        </w:rPr>
        <w:t>Mitigation:</w:t>
      </w:r>
      <w:r>
        <w:rPr>
          <w:color w:val="333333"/>
          <w:sz w:val="22"/>
        </w:rPr>
        <w:t xml:space="preserve"> The project's strong projected DSCR provides a buffer against moderate rate increases. The potential for securing an interest rate cap on the construction loan will be explored. The low LTV at stabilization provides flexibility for long-term financing, even in a higher-rate environment.</w:t>
      </w:r>
    </w:p>
    <w:p>
      <w:pPr>
        <w:pStyle w:val="Heading3"/>
      </w:pPr>
      <w:r>
        <w:rPr>
          <w:color w:val="2E75B6"/>
          <w:sz w:val="26"/>
        </w:rPr>
        <w:t>6.4. Exit &amp; Valuation Risk</w:t>
      </w:r>
    </w:p>
    <w:p>
      <w:pPr>
        <w:pStyle w:val="ListBullet"/>
        <w:ind w:left="720"/>
      </w:pPr>
      <w:r>
        <w:rPr>
          <w:b/>
          <w:color w:val="1F4E78"/>
          <w:sz w:val="22"/>
        </w:rPr>
        <w:t>Risk:</w:t>
      </w:r>
      <w:r>
        <w:rPr>
          <w:color w:val="333333"/>
          <w:sz w:val="22"/>
        </w:rPr>
        <w:t xml:space="preserve"> Deterioration of market conditions or an increase in cap rates at the time of disposition.</w:t>
      </w:r>
    </w:p>
    <w:p>
      <w:pPr>
        <w:pStyle w:val="ListBullet"/>
        <w:ind w:left="720"/>
      </w:pPr>
      <w:r>
        <w:rPr>
          <w:b/>
          <w:color w:val="1F4E78"/>
          <w:sz w:val="22"/>
        </w:rPr>
        <w:t>Mitigation:</w:t>
      </w:r>
      <w:r>
        <w:rPr>
          <w:color w:val="333333"/>
          <w:sz w:val="22"/>
        </w:rPr>
        <w:t xml:space="preserve"> The projected stabilized valuation of $81.7M represents a substantial </w:t>
      </w:r>
      <w:r>
        <w:rPr>
          <w:b/>
          <w:color w:val="1F4E78"/>
          <w:sz w:val="22"/>
        </w:rPr>
        <w:t>$16.7M</w:t>
      </w:r>
      <w:r>
        <w:rPr>
          <w:color w:val="333333"/>
          <w:sz w:val="22"/>
        </w:rPr>
        <w:t xml:space="preserve"> value creation above total cost. The project’s high-quality design, prime location, and diversified unit mix are expected to command strong investor interest. The conservative 5.50% exit cap rate assumption builds in a cushion against market fluctuations.</w:t>
      </w:r>
    </w:p>
    <w:p>
      <w:pPr>
        <w:pStyle w:val="Heading3"/>
      </w:pPr>
      <w:r>
        <w:rPr>
          <w:color w:val="2E75B6"/>
          <w:sz w:val="26"/>
        </w:rPr>
        <w:t>6.5. Legal and Structural Risk</w:t>
      </w:r>
    </w:p>
    <w:p>
      <w:pPr>
        <w:pStyle w:val="ListBullet"/>
        <w:ind w:left="720"/>
      </w:pPr>
      <w:r>
        <w:rPr>
          <w:b/>
          <w:color w:val="1F4E78"/>
          <w:sz w:val="22"/>
        </w:rPr>
        <w:t>Risk:</w:t>
      </w:r>
      <w:r>
        <w:rPr>
          <w:color w:val="333333"/>
          <w:sz w:val="22"/>
        </w:rPr>
        <w:t xml:space="preserve"> Partnership disputes, unexpected liabilities, or failure to comply with regulatory requirements.</w:t>
      </w:r>
    </w:p>
    <w:p>
      <w:pPr>
        <w:pStyle w:val="ListBullet"/>
        <w:ind w:left="720"/>
      </w:pPr>
      <w:r>
        <w:rPr>
          <w:b/>
          <w:color w:val="1F4E78"/>
          <w:sz w:val="22"/>
        </w:rPr>
        <w:t>Mitigation:</w:t>
      </w:r>
      <w:r>
        <w:rPr>
          <w:color w:val="333333"/>
          <w:sz w:val="22"/>
        </w:rPr>
        <w:t xml:space="preserve"> A detailed Limited Partnership Agreement (LPA) or Operating Agreement (LLC) will clearly define roles, responsibilities, distribution waterfalls, and dispute resolution mechanisms. Sponsor guarantees provide recourse for specific catastrophic events. Comprehensive due diligence, including Phase I Environmental Site Assessment (ESA) and a clean title commitment, has been completed.</w:t>
      </w:r>
    </w:p>
    <w:p>
      <w:pPr>
        <w:pStyle w:val="Heading2"/>
      </w:pPr>
      <w:r>
        <w:rPr>
          <w:color w:val="2E75B6"/>
          <w:sz w:val="30"/>
        </w:rPr>
        <w:t>7. PROPOSED INVESTMENT STRUCTURE</w:t>
      </w:r>
    </w:p>
    <w:p>
      <w:r>
        <w:rPr>
          <w:color w:val="333333"/>
          <w:sz w:val="22"/>
        </w:rPr>
        <w:t>The investment will be structured through a newly formed Delaware Series LLC, with our entity acting as the Limited Partner (LP) and Exemplar Development Group LLC as the Managing Member/General Partner (GP). Key terms of the partnership include:</w:t>
      </w:r>
    </w:p>
    <w:p>
      <w:pPr>
        <w:pStyle w:val="ListBullet"/>
        <w:ind w:left="720"/>
      </w:pPr>
      <w:r>
        <w:rPr>
          <w:b/>
          <w:color w:val="1F4E78"/>
          <w:sz w:val="22"/>
        </w:rPr>
        <w:t>Preferred Return:</w:t>
      </w:r>
      <w:r>
        <w:rPr>
          <w:color w:val="333333"/>
          <w:sz w:val="22"/>
        </w:rPr>
        <w:t xml:space="preserve"> LP receives an 8.0% non-compounding preferred return on its invested capital, paid pari passu with the Sponsor's equity, prior to any split of residual cash flow.</w:t>
      </w:r>
    </w:p>
    <w:p>
      <w:pPr>
        <w:pStyle w:val="ListBullet"/>
        <w:ind w:left="720"/>
      </w:pPr>
      <w:r>
        <w:rPr>
          <w:b/>
          <w:color w:val="1F4E78"/>
          <w:sz w:val="22"/>
        </w:rPr>
        <w:t>Cash Flow Distribution Waterfall:</w:t>
      </w:r>
    </w:p>
    <w:p>
      <w:r>
        <w:rPr>
          <w:color w:val="333333"/>
          <w:sz w:val="22"/>
        </w:rPr>
        <w:t xml:space="preserve">1.  </w:t>
      </w:r>
      <w:r>
        <w:rPr>
          <w:b/>
          <w:color w:val="1F4E78"/>
          <w:sz w:val="22"/>
        </w:rPr>
        <w:t>First Tier:</w:t>
      </w:r>
      <w:r>
        <w:rPr>
          <w:color w:val="333333"/>
          <w:sz w:val="22"/>
        </w:rPr>
        <w:t xml:space="preserve"> 100% to LP and GP until both have received their 8.0% preferred return. 2.  </w:t>
      </w:r>
      <w:r>
        <w:rPr>
          <w:b/>
          <w:color w:val="1F4E78"/>
          <w:sz w:val="22"/>
        </w:rPr>
        <w:t>Second Tier:</w:t>
      </w:r>
      <w:r>
        <w:rPr>
          <w:color w:val="333333"/>
          <w:sz w:val="22"/>
        </w:rPr>
        <w:t xml:space="preserve"> 70% to LP, 30% to GP, until LP achieves a 12.0% cumulative IRR. 3.  </w:t>
      </w:r>
      <w:r>
        <w:rPr>
          <w:b/>
          <w:color w:val="1F4E78"/>
          <w:sz w:val="22"/>
        </w:rPr>
        <w:t>Third Tier (Promote):</w:t>
      </w:r>
      <w:r>
        <w:rPr>
          <w:color w:val="333333"/>
          <w:sz w:val="22"/>
        </w:rPr>
        <w:t xml:space="preserve"> 60% to LP, 40% to GP, for all remaining distributions.</w:t>
      </w:r>
    </w:p>
    <w:p>
      <w:pPr>
        <w:pStyle w:val="ListBullet"/>
        <w:ind w:left="720"/>
      </w:pPr>
      <w:r>
        <w:rPr>
          <w:b/>
          <w:color w:val="1F4E78"/>
          <w:sz w:val="22"/>
        </w:rPr>
        <w:t>Sponsor Guarantees:</w:t>
      </w:r>
      <w:r>
        <w:rPr>
          <w:color w:val="333333"/>
          <w:sz w:val="22"/>
        </w:rPr>
        <w:t xml:space="preserve"> Sponsor will execute a Completion Guaranty, a Non-Recourse Carve-Out Guaranty, and an Environmental Indemnity Agreement in favor of both the Lender and the Equity partners.</w:t>
      </w:r>
    </w:p>
    <w:p>
      <w:pPr>
        <w:pStyle w:val="ListBullet"/>
        <w:ind w:left="720"/>
      </w:pPr>
      <w:r>
        <w:rPr>
          <w:b/>
          <w:color w:val="1F4E78"/>
          <w:sz w:val="22"/>
        </w:rPr>
        <w:t>Reporting:</w:t>
      </w:r>
      <w:r>
        <w:rPr>
          <w:color w:val="333333"/>
          <w:sz w:val="22"/>
        </w:rPr>
        <w:t xml:space="preserve"> Monthly construction reports, quarterly financial statements, and annual audited financials will be required from the Sponsor.</w:t>
      </w:r>
    </w:p>
    <w:p>
      <w:pPr>
        <w:pStyle w:val="Heading2"/>
      </w:pPr>
      <w:r>
        <w:rPr>
          <w:color w:val="2E75B6"/>
          <w:sz w:val="30"/>
        </w:rPr>
        <w:t>8. RECOMMENDATION</w:t>
      </w:r>
    </w:p>
    <w:p>
      <w:r>
        <w:rPr>
          <w:color w:val="333333"/>
          <w:sz w:val="22"/>
        </w:rPr>
        <w:t>Based on the rigorous underwriting analysis, the robust financial projections demonstrating significant value creation and attractive returns, the strength and experience of Exemplar Development Group LLC, and the comprehensive risk mitigation strategies in place, we formally recommend proceeding with the investment in So-Good Apartments. This project aligns strategically with our investment criteria for ground-up Class A multifamily development in high-growth submarkets.</w:t>
      </w:r>
    </w:p>
    <w:p>
      <w:r>
        <w:rPr>
          <w:color w:val="333333"/>
          <w:sz w:val="22"/>
        </w:rPr>
        <w:t xml:space="preserve">We advise the Investment Committee to approve the allocation of </w:t>
      </w:r>
      <w:r>
        <w:rPr>
          <w:b/>
          <w:color w:val="1F4E78"/>
          <w:sz w:val="22"/>
        </w:rPr>
        <w:t>$18,000,000</w:t>
      </w:r>
      <w:r>
        <w:rPr>
          <w:color w:val="333333"/>
          <w:sz w:val="22"/>
        </w:rPr>
        <w:t xml:space="preserve"> in LP equity for this development, subject to finalization of definitive legal documentation and satisfaction of all pre-closing conditions.</w:t>
      </w:r>
    </w:p>
    <w:p>
      <w:pPr>
        <w:jc w:val="center"/>
      </w:pPr>
      <w:r>
        <w:rPr>
          <w:color w:val="CCCCCC"/>
          <w:sz w:val="12"/>
        </w:rPr>
        <w:t>────────────────────────────────────────────────────────────────────────────────</w:t>
      </w:r>
    </w:p>
    <w:p>
      <w:r>
        <w:rPr>
          <w:b/>
          <w:color w:val="1F4E78"/>
          <w:sz w:val="22"/>
        </w:rPr>
        <w:t>Prepared By:</w:t>
      </w:r>
    </w:p>
    <w:p>
      <w:r>
        <w:rPr>
          <w:color w:val="333333"/>
          <w:sz w:val="22"/>
        </w:rPr>
        <w:t>[Your Name/Department] Senior Underwriter &amp; Legal Counsel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