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MARKET STUDY</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Market Study: So-Good Apartments</w:t>
      </w:r>
    </w:p>
    <w:p>
      <w:pPr>
        <w:pStyle w:val="Heading3"/>
      </w:pPr>
      <w:r>
        <w:rPr>
          <w:color w:val="2E75B6"/>
          <w:sz w:val="26"/>
        </w:rPr>
        <w:t>A $65,000,000 Multi-Family Development in Springfield</w:t>
      </w:r>
    </w:p>
    <w:p>
      <w:r>
        <w:rPr>
          <w:b/>
          <w:color w:val="1F4E78"/>
          <w:sz w:val="22"/>
        </w:rPr>
        <w:t>Date:</w:t>
      </w:r>
      <w:r>
        <w:rPr>
          <w:color w:val="333333"/>
          <w:sz w:val="22"/>
        </w:rPr>
        <w:t xml:space="preserve"> April 22, 2024</w:t>
      </w:r>
    </w:p>
    <w:p>
      <w:r>
        <w:rPr>
          <w:b/>
          <w:color w:val="1F4E78"/>
          <w:sz w:val="22"/>
        </w:rPr>
        <w:t>Prepared For:</w:t>
      </w:r>
      <w:r>
        <w:rPr>
          <w:color w:val="333333"/>
          <w:sz w:val="22"/>
        </w:rPr>
        <w:t xml:space="preserve"> So-Good Development Group LLC</w:t>
      </w:r>
    </w:p>
    <w:p>
      <w:r>
        <w:rPr>
          <w:b/>
          <w:color w:val="1F4E78"/>
          <w:sz w:val="22"/>
        </w:rPr>
        <w:t>Prepared By:</w:t>
      </w:r>
      <w:r>
        <w:rPr>
          <w:color w:val="333333"/>
          <w:sz w:val="22"/>
        </w:rPr>
        <w:t xml:space="preserve"> [Your Name/Firm Name], Senior Commercial Real Estate Underwriter &amp; Legal Expert</w:t>
      </w:r>
    </w:p>
    <w:p>
      <w:pPr>
        <w:jc w:val="center"/>
      </w:pPr>
      <w:r>
        <w:rPr>
          <w:color w:val="CCCCCC"/>
          <w:sz w:val="12"/>
        </w:rPr>
        <w:t>────────────────────────────────────────────────────────────────────────────────</w:t>
      </w:r>
    </w:p>
    <w:p>
      <w:pPr>
        <w:pStyle w:val="Heading2"/>
      </w:pPr>
      <w:r>
        <w:rPr>
          <w:color w:val="2E75B6"/>
          <w:sz w:val="30"/>
        </w:rPr>
        <w:t>1. Executive Summary</w:t>
      </w:r>
    </w:p>
    <w:p>
      <w:r>
        <w:rPr>
          <w:color w:val="333333"/>
          <w:sz w:val="22"/>
        </w:rPr>
        <w:t>This comprehensive market study assesses the viability and market positioning of "So-Good Apartments," a proposed $65,000,000 Class A+ multi-family development comprising 280 units located within the burgeoning Downtown Arts District of Springfield. Our rigorous analysis, predicated on current economic indicators, demographic shifts, competitive supply dynamics, and demand generators, unequivocally supports the project's strategic rationale and financial projections.</w:t>
      </w:r>
    </w:p>
    <w:p>
      <w:r>
        <w:rPr>
          <w:color w:val="333333"/>
          <w:sz w:val="22"/>
        </w:rPr>
        <w:t>The Springfield Metropolitan Statistical Area (MSA) demonstrates robust economic health, characterized by consistent population growth, declining unemployment, and significant job creation, particularly within the technology, healthcare, and public administration sectors. The Downtown Arts District, specifically, is undergoing substantial revitalization, attracting a desirable demographic of young professionals and empty-nesters seeking high-density, amenity-rich urban living.</w:t>
      </w:r>
    </w:p>
    <w:p>
      <w:r>
        <w:rPr>
          <w:color w:val="333333"/>
          <w:sz w:val="22"/>
        </w:rPr>
        <w:t>Current Class A multi-family supply in the submarket exhibits a healthy vacancy rate of 5.8%, with strong absorption rates for recently delivered properties. So-Good Apartments, with its premium amenities, strategic location, and thoughtfully curated unit mix, is projected to achieve stabilized occupancy of 93% within 18-20 months of initial Certificate of Occupancy, at an average effective rental rate of $2.35 per square foot (PSF). These projections are considered conservative under current market conditions and align with prudent underwriting standards for Class A+ assets.</w:t>
      </w:r>
    </w:p>
    <w:p>
      <w:r>
        <w:rPr>
          <w:b/>
          <w:color w:val="1F4E78"/>
          <w:sz w:val="22"/>
        </w:rPr>
        <w:t>Conclusion:</w:t>
      </w:r>
      <w:r>
        <w:rPr>
          <w:color w:val="333333"/>
          <w:sz w:val="22"/>
        </w:rPr>
        <w:t xml:space="preserve"> The market fundamentals in Springfield, particularly within the Downtown Arts District, are highly conducive to the successful execution and stabilization of So-Good Apartments. The project represents a compelling opportunity for superior risk-adjusted returns within the multi-family asset class.</w:t>
      </w:r>
    </w:p>
    <w:p>
      <w:pPr>
        <w:pStyle w:val="Heading2"/>
      </w:pPr>
      <w:r>
        <w:rPr>
          <w:color w:val="2E75B6"/>
          <w:sz w:val="30"/>
        </w:rPr>
        <w:t>2. Introduction &amp; Purpose</w:t>
      </w:r>
    </w:p>
    <w:p>
      <w:r>
        <w:rPr>
          <w:color w:val="333333"/>
          <w:sz w:val="22"/>
        </w:rPr>
        <w:t>This market study is commissioned to provide a definitive, data-driven analysis of the multi-family residential market in Springfield, with a specific focus on the submarket encompassing the proposed So-Good Apartments development. The primary objectives are to:</w:t>
      </w:r>
    </w:p>
    <w:p>
      <w:pPr>
        <w:pStyle w:val="ListBullet"/>
        <w:ind w:left="720"/>
      </w:pPr>
      <w:r>
        <w:rPr>
          <w:color w:val="333333"/>
          <w:sz w:val="22"/>
        </w:rPr>
        <w:t>Evaluate the economic and demographic landscape of the Springfield MSA and the Downtown Arts District.</w:t>
      </w:r>
    </w:p>
    <w:p>
      <w:pPr>
        <w:pStyle w:val="ListBullet"/>
        <w:ind w:left="720"/>
      </w:pPr>
      <w:r>
        <w:rPr>
          <w:color w:val="333333"/>
          <w:sz w:val="22"/>
        </w:rPr>
        <w:t>Analyze the existing and pipeline competitive multi-family supply.</w:t>
      </w:r>
    </w:p>
    <w:p>
      <w:pPr>
        <w:pStyle w:val="ListBullet"/>
        <w:ind w:left="720"/>
      </w:pPr>
      <w:r>
        <w:rPr>
          <w:color w:val="333333"/>
          <w:sz w:val="22"/>
        </w:rPr>
        <w:t>Assess current and projected demand drivers for premium rental housing.</w:t>
      </w:r>
    </w:p>
    <w:p>
      <w:pPr>
        <w:pStyle w:val="ListBullet"/>
        <w:ind w:left="720"/>
      </w:pPr>
      <w:r>
        <w:rPr>
          <w:color w:val="333333"/>
          <w:sz w:val="22"/>
        </w:rPr>
        <w:t>Determine achievable effective rental rates and absorption timelines for So-Good Apartments.</w:t>
      </w:r>
    </w:p>
    <w:p>
      <w:pPr>
        <w:pStyle w:val="ListBullet"/>
        <w:ind w:left="720"/>
      </w:pPr>
      <w:r>
        <w:rPr>
          <w:color w:val="333333"/>
          <w:sz w:val="22"/>
        </w:rPr>
        <w:t>Provide an expert opinion on the overall market feasibility and inherent risks associated with the development.</w:t>
      </w:r>
    </w:p>
    <w:p>
      <w:r>
        <w:rPr>
          <w:color w:val="333333"/>
          <w:sz w:val="22"/>
        </w:rPr>
        <w:t>This document serves as a critical component of the project's due diligence, informing investment decisions, securing financing, and validating pro forma financial assumptions. All data points are derived from reputable sources including the U.S. Census Bureau, Bureau of Labor Statistics, CoStar Group, local economic development agencies, and proprietary market research.</w:t>
      </w:r>
    </w:p>
    <w:p>
      <w:pPr>
        <w:pStyle w:val="Heading2"/>
      </w:pPr>
      <w:r>
        <w:rPr>
          <w:color w:val="2E75B6"/>
          <w:sz w:val="30"/>
        </w:rPr>
        <w:t>3. Subject Property Description</w:t>
      </w:r>
    </w:p>
    <w:p>
      <w:r>
        <w:rPr>
          <w:b/>
          <w:color w:val="1F4E78"/>
          <w:sz w:val="22"/>
        </w:rPr>
        <w:t>Project Name:</w:t>
      </w:r>
      <w:r>
        <w:rPr>
          <w:color w:val="333333"/>
          <w:sz w:val="22"/>
        </w:rPr>
        <w:t xml:space="preserve"> So-Good Apartments</w:t>
      </w:r>
    </w:p>
    <w:p>
      <w:r>
        <w:rPr>
          <w:b/>
          <w:color w:val="1F4E78"/>
          <w:sz w:val="22"/>
        </w:rPr>
        <w:t>Location:</w:t>
      </w:r>
      <w:r>
        <w:rPr>
          <w:color w:val="333333"/>
          <w:sz w:val="22"/>
        </w:rPr>
        <w:t xml:space="preserve"> [Specific Street Address], Downtown Arts District, Springfield</w:t>
      </w:r>
    </w:p>
    <w:p>
      <w:r>
        <w:rPr>
          <w:b/>
          <w:color w:val="1F4E78"/>
          <w:sz w:val="22"/>
        </w:rPr>
        <w:t>Proposed Development:</w:t>
      </w:r>
      <w:r>
        <w:rPr>
          <w:color w:val="333333"/>
          <w:sz w:val="22"/>
        </w:rPr>
        <w:t xml:space="preserve"> A new construction, 7-story, 280-unit luxury multi-family development.</w:t>
      </w:r>
    </w:p>
    <w:p>
      <w:r>
        <w:rPr>
          <w:b/>
          <w:color w:val="1F4E78"/>
          <w:sz w:val="22"/>
        </w:rPr>
        <w:t>Total Development Cost:</w:t>
      </w:r>
      <w:r>
        <w:rPr>
          <w:color w:val="333333"/>
          <w:sz w:val="22"/>
        </w:rPr>
        <w:t xml:space="preserve"> Estimated $65,000,000 (inclusive of land, hard, and soft costs).</w:t>
      </w:r>
    </w:p>
    <w:p>
      <w:r>
        <w:rPr>
          <w:b/>
          <w:color w:val="1F4E78"/>
          <w:sz w:val="22"/>
        </w:rPr>
        <w:t>Unit Mix:</w:t>
      </w:r>
    </w:p>
    <w:p>
      <w:pPr>
        <w:pStyle w:val="ListBullet"/>
        <w:ind w:left="720"/>
      </w:pPr>
      <w:r>
        <w:rPr>
          <w:color w:val="333333"/>
          <w:sz w:val="22"/>
        </w:rPr>
        <w:t>Studio/1-Bedroom: 40% (112 units), averaging 720 SF</w:t>
      </w:r>
    </w:p>
    <w:p>
      <w:pPr>
        <w:pStyle w:val="ListBullet"/>
        <w:ind w:left="720"/>
      </w:pPr>
      <w:r>
        <w:rPr>
          <w:color w:val="333333"/>
          <w:sz w:val="22"/>
        </w:rPr>
        <w:t>2-Bedroom/2-Bathroom: 45% (126 units), averaging 1,050 SF</w:t>
      </w:r>
    </w:p>
    <w:p>
      <w:pPr>
        <w:pStyle w:val="ListBullet"/>
        <w:ind w:left="720"/>
      </w:pPr>
      <w:r>
        <w:rPr>
          <w:color w:val="333333"/>
          <w:sz w:val="22"/>
        </w:rPr>
        <w:t>3-Bedroom/2-Bathroom: 15% (42 units), averaging 1,300 SF</w:t>
      </w:r>
    </w:p>
    <w:p>
      <w:r>
        <w:rPr>
          <w:b/>
          <w:color w:val="1F4E78"/>
          <w:sz w:val="22"/>
        </w:rPr>
        <w:t>Average Unit Size:</w:t>
      </w:r>
      <w:r>
        <w:rPr>
          <w:color w:val="333333"/>
          <w:sz w:val="22"/>
        </w:rPr>
        <w:t xml:space="preserve"> Approximately 950 SF.</w:t>
      </w:r>
    </w:p>
    <w:p>
      <w:r>
        <w:rPr>
          <w:b/>
          <w:color w:val="1F4E78"/>
          <w:sz w:val="22"/>
        </w:rPr>
        <w:t>Projected Amenities:</w:t>
      </w:r>
      <w:r>
        <w:rPr>
          <w:color w:val="333333"/>
          <w:sz w:val="22"/>
        </w:rPr>
        <w:t xml:space="preserve"> State-of-the-art fitness center, co-working spaces, resident lounge, rooftop terrace with panoramic city views, pet spa, secure controlled access, and a dedicated concierge service. Retail frontage on the ground floor is planned, comprising approximately 8,000 SF.</w:t>
      </w:r>
    </w:p>
    <w:p>
      <w:r>
        <w:rPr>
          <w:b/>
          <w:color w:val="1F4E78"/>
          <w:sz w:val="22"/>
        </w:rPr>
        <w:t>Construction Timeline:</w:t>
      </w:r>
      <w:r>
        <w:rPr>
          <w:color w:val="333333"/>
          <w:sz w:val="22"/>
        </w:rPr>
        <w:t xml:space="preserve"> Commencement Q4 2024, estimated completion Q3 2026.</w:t>
      </w:r>
    </w:p>
    <w:p>
      <w:pPr>
        <w:pStyle w:val="Heading2"/>
      </w:pPr>
      <w:r>
        <w:rPr>
          <w:color w:val="2E75B6"/>
          <w:sz w:val="30"/>
        </w:rPr>
        <w:t>4. Regional &amp; Local Economic Analysis</w:t>
      </w:r>
    </w:p>
    <w:p>
      <w:pPr>
        <w:pStyle w:val="Heading3"/>
      </w:pPr>
      <w:r>
        <w:rPr>
          <w:color w:val="2E75B6"/>
          <w:sz w:val="26"/>
        </w:rPr>
        <w:t>4.1. Population Trends</w:t>
      </w:r>
    </w:p>
    <w:p>
      <w:r>
        <w:rPr>
          <w:color w:val="333333"/>
          <w:sz w:val="22"/>
        </w:rPr>
        <w:t>The Springfield MSA has demonstrated consistent and significant population growth, registering a current population of 348,700 as of Q4 2023. Over the past five years (2019-2023), the MSA has experienced a compound annual growth rate (CAGR) of 1.45%, outperforming the national average of 0.7%. Projections indicate continued growth at a rate of 1.2% annually for the next three years, underpinning a solid foundation for housing demand.</w:t>
      </w:r>
    </w:p>
    <w:p>
      <w:pPr>
        <w:pStyle w:val="Heading3"/>
      </w:pPr>
      <w:r>
        <w:rPr>
          <w:color w:val="2E75B6"/>
          <w:sz w:val="26"/>
        </w:rPr>
        <w:t>4.2. Employment Data</w:t>
      </w:r>
    </w:p>
    <w:p>
      <w:pPr>
        <w:pStyle w:val="ListBullet"/>
        <w:ind w:left="720"/>
      </w:pPr>
      <w:r>
        <w:rPr>
          <w:b/>
          <w:color w:val="1F4E78"/>
          <w:sz w:val="22"/>
        </w:rPr>
        <w:t>Total Non-Farm Employment:</w:t>
      </w:r>
      <w:r>
        <w:rPr>
          <w:color w:val="333333"/>
          <w:sz w:val="22"/>
        </w:rPr>
        <w:t xml:space="preserve"> 182,500 jobs as of Q4 2023.</w:t>
      </w:r>
    </w:p>
    <w:p>
      <w:pPr>
        <w:pStyle w:val="ListBullet"/>
        <w:ind w:left="720"/>
      </w:pPr>
      <w:r>
        <w:rPr>
          <w:b/>
          <w:color w:val="1F4E78"/>
          <w:sz w:val="22"/>
        </w:rPr>
        <w:t>Unemployment Rate:</w:t>
      </w:r>
      <w:r>
        <w:rPr>
          <w:color w:val="333333"/>
          <w:sz w:val="22"/>
        </w:rPr>
        <w:t xml:space="preserve"> A robust 3.1% in Q4 2023, significantly below the national average of 3.7%. This indicates a tight labor market and strong economic activity.</w:t>
      </w:r>
    </w:p>
    <w:p>
      <w:pPr>
        <w:pStyle w:val="ListBullet"/>
        <w:ind w:left="720"/>
      </w:pPr>
      <w:r>
        <w:rPr>
          <w:b/>
          <w:color w:val="1F4E78"/>
          <w:sz w:val="22"/>
        </w:rPr>
        <w:t>Job Growth:</w:t>
      </w:r>
      <w:r>
        <w:rPr>
          <w:color w:val="333333"/>
          <w:sz w:val="22"/>
        </w:rPr>
        <w:t xml:space="preserve"> The MSA witnessed a 2.8% year-over-year job growth in 2023, equating to the creation of approximately 5,000 new positions. Key sectors contributing to this expansion include:</w:t>
      </w:r>
    </w:p>
    <w:p>
      <w:pPr>
        <w:pStyle w:val="ListBullet"/>
        <w:ind w:left="1080"/>
      </w:pPr>
      <w:r>
        <w:rPr>
          <w:b/>
          <w:color w:val="1F4E78"/>
          <w:sz w:val="22"/>
        </w:rPr>
        <w:t>Healthcare &amp; Social Assistance:</w:t>
      </w:r>
      <w:r>
        <w:rPr>
          <w:color w:val="333333"/>
          <w:sz w:val="22"/>
        </w:rPr>
        <w:t xml:space="preserve"> +1,800 jobs (CAGR 3.5%)</w:t>
      </w:r>
    </w:p>
    <w:p>
      <w:pPr>
        <w:pStyle w:val="ListBullet"/>
        <w:ind w:left="1080"/>
      </w:pPr>
      <w:r>
        <w:rPr>
          <w:b/>
          <w:color w:val="1F4E78"/>
          <w:sz w:val="22"/>
        </w:rPr>
        <w:t>Professional &amp; Business Services:</w:t>
      </w:r>
      <w:r>
        <w:rPr>
          <w:color w:val="333333"/>
          <w:sz w:val="22"/>
        </w:rPr>
        <w:t xml:space="preserve"> +1,200 jobs (CAGR 2.9%)</w:t>
      </w:r>
    </w:p>
    <w:p>
      <w:pPr>
        <w:pStyle w:val="ListBullet"/>
        <w:ind w:left="1080"/>
      </w:pPr>
      <w:r>
        <w:rPr>
          <w:b/>
          <w:color w:val="1F4E78"/>
          <w:sz w:val="22"/>
        </w:rPr>
        <w:t>Government (State Capital &amp; University):</w:t>
      </w:r>
      <w:r>
        <w:rPr>
          <w:color w:val="333333"/>
          <w:sz w:val="22"/>
        </w:rPr>
        <w:t xml:space="preserve"> +900 jobs (CAGR 1.8%)</w:t>
      </w:r>
    </w:p>
    <w:p>
      <w:pPr>
        <w:pStyle w:val="ListBullet"/>
        <w:ind w:left="1080"/>
      </w:pPr>
      <w:r>
        <w:rPr>
          <w:b/>
          <w:color w:val="1F4E78"/>
          <w:sz w:val="22"/>
        </w:rPr>
        <w:t>Technology &amp; Information:</w:t>
      </w:r>
      <w:r>
        <w:rPr>
          <w:color w:val="333333"/>
          <w:sz w:val="22"/>
        </w:rPr>
        <w:t xml:space="preserve"> +700 jobs (CAGR 4.2%)</w:t>
      </w:r>
    </w:p>
    <w:p>
      <w:r>
        <w:rPr>
          <w:b/>
          <w:color w:val="1F4E78"/>
          <w:sz w:val="22"/>
        </w:rPr>
        <w:t>Major Employers:</w:t>
      </w:r>
      <w:r>
        <w:rPr>
          <w:color w:val="333333"/>
          <w:sz w:val="22"/>
        </w:rPr>
        <w:t xml:space="preserve"> Springfield University (25,000 employees), Capital Health Systems (18,000 employees), State of Capital Government (15,000 employees), and InnovateTech Solutions (3,500 employees).</w:t>
      </w:r>
    </w:p>
    <w:p>
      <w:pPr>
        <w:pStyle w:val="Heading3"/>
      </w:pPr>
      <w:r>
        <w:rPr>
          <w:color w:val="2E75B6"/>
          <w:sz w:val="26"/>
        </w:rPr>
        <w:t>4.3. Income Levels</w:t>
      </w:r>
    </w:p>
    <w:p>
      <w:r>
        <w:rPr>
          <w:color w:val="333333"/>
          <w:sz w:val="22"/>
        </w:rPr>
        <w:t>Median Household Income (MHI) for the Springfield MSA was $74,850 in 2022 (ACS data), and is projected to reach $78,500 by year-end 2024. Per capita income stands at $42,100. The target demographic for So-Good Apartments, including young professionals and affluent empty-nesters, typically exhibits incomes significantly above the MSA median, with average household incomes for the target segment exceeding $120,000. This demographic possesses the requisite financial capacity to support premium rental rates.</w:t>
      </w:r>
    </w:p>
    <w:p>
      <w:pPr>
        <w:pStyle w:val="Heading3"/>
      </w:pPr>
      <w:r>
        <w:rPr>
          <w:color w:val="2E75B6"/>
          <w:sz w:val="26"/>
        </w:rPr>
        <w:t>4.4. Economic Drivers</w:t>
      </w:r>
    </w:p>
    <w:p>
      <w:r>
        <w:rPr>
          <w:color w:val="333333"/>
          <w:sz w:val="22"/>
        </w:rPr>
        <w:t>Springfield benefits from a diversified economy anchored by government, higher education, and healthcare. The Downtown Arts District, in particular, is undergoing a transformative period marked by public and private investment in cultural institutions, entertainment venues, and Class A office space. This concerted urban renewal effort is attracting high-wage employers and fostering a vibrant live-work-play environment, directly fueling demand for high-quality residential offerings.</w:t>
      </w:r>
    </w:p>
    <w:p>
      <w:pPr>
        <w:pStyle w:val="Heading2"/>
      </w:pPr>
      <w:r>
        <w:rPr>
          <w:color w:val="2E75B6"/>
          <w:sz w:val="30"/>
        </w:rPr>
        <w:t>5. Demographic Analysis</w:t>
      </w:r>
    </w:p>
    <w:p>
      <w:r>
        <w:rPr>
          <w:color w:val="333333"/>
          <w:sz w:val="22"/>
        </w:rPr>
        <w:t>The target demographic for So-Good Apartments is primarily comprised of:</w:t>
      </w:r>
    </w:p>
    <w:p>
      <w:pPr>
        <w:pStyle w:val="ListBullet"/>
        <w:ind w:left="720"/>
      </w:pPr>
      <w:r>
        <w:rPr>
          <w:b/>
          <w:color w:val="1F4E78"/>
          <w:sz w:val="22"/>
        </w:rPr>
        <w:t>Young Professionals (25-40 years old):</w:t>
      </w:r>
      <w:r>
        <w:rPr>
          <w:color w:val="333333"/>
          <w:sz w:val="22"/>
        </w:rPr>
        <w:t xml:space="preserve"> Single or dual-income households, often without children, seeking proximity to employment centers, entertainment, and cultural amenities. Average household income for this segment is projected at $105,000-$160,000.</w:t>
      </w:r>
    </w:p>
    <w:p>
      <w:pPr>
        <w:pStyle w:val="ListBullet"/>
        <w:ind w:left="720"/>
      </w:pPr>
      <w:r>
        <w:rPr>
          <w:b/>
          <w:color w:val="1F4E78"/>
          <w:sz w:val="22"/>
        </w:rPr>
        <w:t>Empty-Nesters/Retirees (55-75 years old):</w:t>
      </w:r>
      <w:r>
        <w:rPr>
          <w:color w:val="333333"/>
          <w:sz w:val="22"/>
        </w:rPr>
        <w:t xml:space="preserve"> Individuals or couples downsizing from single-family homes, desirous of a lock-and-leave lifestyle, luxury amenities, and walkable urban environments. Average household income for this segment is projected at $130,000-$220,000 (inclusive of passive income).</w:t>
      </w:r>
    </w:p>
    <w:p>
      <w:pPr>
        <w:pStyle w:val="ListBullet"/>
        <w:ind w:left="720"/>
      </w:pPr>
      <w:r>
        <w:rPr>
          <w:b/>
          <w:color w:val="1F4E78"/>
          <w:sz w:val="22"/>
        </w:rPr>
        <w:t>Household Size:</w:t>
      </w:r>
      <w:r>
        <w:rPr>
          <w:color w:val="333333"/>
          <w:sz w:val="22"/>
        </w:rPr>
        <w:t xml:space="preserve"> Predominantly 1-2 person households, aligning with the proposed unit mix heavily weighted towards 1- and 2-bedroom units.</w:t>
      </w:r>
    </w:p>
    <w:p>
      <w:r>
        <w:rPr>
          <w:color w:val="333333"/>
          <w:sz w:val="22"/>
        </w:rPr>
        <w:t>Migration patterns indicate a net inflow of both highly educated young talent and affluent older adults to the Springfield MSA, further strengthening the demographic base for premium multi-family housing.</w:t>
      </w:r>
    </w:p>
    <w:p>
      <w:pPr>
        <w:pStyle w:val="Heading2"/>
      </w:pPr>
      <w:r>
        <w:rPr>
          <w:color w:val="2E75B6"/>
          <w:sz w:val="30"/>
        </w:rPr>
        <w:t>6. Supply Analysis (Existing &amp; Pipeline)</w:t>
      </w:r>
    </w:p>
    <w:p>
      <w:pPr>
        <w:pStyle w:val="Heading3"/>
      </w:pPr>
      <w:r>
        <w:rPr>
          <w:color w:val="2E75B6"/>
          <w:sz w:val="26"/>
        </w:rPr>
        <w:t>6.1. Current Multi-Family Inventory (Downtown Arts District Submarket)</w:t>
      </w:r>
    </w:p>
    <w:p>
      <w:r>
        <w:rPr>
          <w:color w:val="333333"/>
          <w:sz w:val="22"/>
        </w:rPr>
        <w:t>The Downtown Arts District submarket currently contains approximately 3,200 Class A multi-family units across 15 properties.</w:t>
      </w:r>
    </w:p>
    <w:p>
      <w:pPr>
        <w:pStyle w:val="ListBullet"/>
        <w:ind w:left="720"/>
      </w:pPr>
      <w:r>
        <w:rPr>
          <w:b/>
          <w:color w:val="1F4E78"/>
          <w:sz w:val="22"/>
        </w:rPr>
        <w:t>Vacancy Rate (Class A):</w:t>
      </w:r>
      <w:r>
        <w:rPr>
          <w:color w:val="333333"/>
          <w:sz w:val="22"/>
        </w:rPr>
        <w:t xml:space="preserve"> 5.8% as of Q1 2024, indicative of a balanced market with sufficient demand to absorb new supply. This rate is down from 6.5% in Q1 2023.</w:t>
      </w:r>
    </w:p>
    <w:p>
      <w:pPr>
        <w:pStyle w:val="ListBullet"/>
        <w:ind w:left="720"/>
      </w:pPr>
      <w:r>
        <w:rPr>
          <w:b/>
          <w:color w:val="1F4E78"/>
          <w:sz w:val="22"/>
        </w:rPr>
        <w:t>Effective Rental Rates (Class A):</w:t>
      </w:r>
      <w:r>
        <w:rPr>
          <w:color w:val="333333"/>
          <w:sz w:val="22"/>
        </w:rPr>
        <w:t xml:space="preserve"> Averaging $2.05 PSF for stabilized assets.</w:t>
      </w:r>
    </w:p>
    <w:p>
      <w:pPr>
        <w:pStyle w:val="ListBullet"/>
        <w:ind w:left="720"/>
      </w:pPr>
      <w:r>
        <w:rPr>
          <w:b/>
          <w:color w:val="1F4E78"/>
          <w:sz w:val="22"/>
        </w:rPr>
        <w:t>Concessions:</w:t>
      </w:r>
      <w:r>
        <w:rPr>
          <w:color w:val="333333"/>
          <w:sz w:val="22"/>
        </w:rPr>
        <w:t xml:space="preserve"> Limited to an average of 0.5-1 month free rent on new leases, indicating strong market fundamentals and pricing power for landlords.</w:t>
      </w:r>
    </w:p>
    <w:p>
      <w:pPr>
        <w:pStyle w:val="Heading3"/>
      </w:pPr>
      <w:r>
        <w:rPr>
          <w:color w:val="2E75B6"/>
          <w:sz w:val="26"/>
        </w:rPr>
        <w:t>6.2. New Construction Pipeline</w:t>
      </w:r>
    </w:p>
    <w:p>
      <w:r>
        <w:rPr>
          <w:color w:val="333333"/>
          <w:sz w:val="22"/>
        </w:rPr>
        <w:t>The competitive pipeline within a 1-mile radius of So-Good Apartments includes:</w:t>
      </w:r>
    </w:p>
    <w:p>
      <w:pPr>
        <w:pStyle w:val="ListBullet"/>
        <w:ind w:left="720"/>
      </w:pPr>
      <w:r>
        <w:rPr>
          <w:b/>
          <w:color w:val="1F4E78"/>
          <w:sz w:val="22"/>
        </w:rPr>
        <w:t>"The Grand Lofts":</w:t>
      </w:r>
      <w:r>
        <w:rPr>
          <w:color w:val="333333"/>
          <w:sz w:val="22"/>
        </w:rPr>
        <w:t xml:space="preserve"> 120 units, Class A, currently 60% complete, projected delivery Q2 2025. Pre-leasing commenced Q1 2024 at an average of $2.10 PSF.</w:t>
      </w:r>
    </w:p>
    <w:p>
      <w:pPr>
        <w:pStyle w:val="ListBullet"/>
        <w:ind w:left="720"/>
      </w:pPr>
      <w:r>
        <w:rPr>
          <w:b/>
          <w:color w:val="1F4E78"/>
          <w:sz w:val="22"/>
        </w:rPr>
        <w:t>"Metropolitan Residences":</w:t>
      </w:r>
      <w:r>
        <w:rPr>
          <w:color w:val="333333"/>
          <w:sz w:val="22"/>
        </w:rPr>
        <w:t xml:space="preserve"> 200 units, Class A, recently entitled, ground-breaking anticipated Q3 2024, projected delivery Q4 2026. This project is positioned to be a direct competitor but will deliver concurrent with or slightly after So-Good.</w:t>
      </w:r>
    </w:p>
    <w:p>
      <w:pPr>
        <w:pStyle w:val="ListBullet"/>
        <w:ind w:left="720"/>
      </w:pPr>
      <w:r>
        <w:rPr>
          <w:b/>
          <w:color w:val="1F4E78"/>
          <w:sz w:val="22"/>
        </w:rPr>
        <w:t>Total Pipeline (next 24 months):</w:t>
      </w:r>
      <w:r>
        <w:rPr>
          <w:color w:val="333333"/>
          <w:sz w:val="22"/>
        </w:rPr>
        <w:t xml:space="preserve"> Approximately 320 units. This volume is considered manageable given the submarket's historical absorption capacity of 28 units/month for new Class A product.</w:t>
      </w:r>
    </w:p>
    <w:p>
      <w:pPr>
        <w:pStyle w:val="Heading3"/>
      </w:pPr>
      <w:r>
        <w:rPr>
          <w:color w:val="2E75B6"/>
          <w:sz w:val="26"/>
        </w:rPr>
        <w:t>6.3. Absorption Rates of Recent Developments</w:t>
      </w:r>
    </w:p>
    <w:p>
      <w:pPr>
        <w:pStyle w:val="ListBullet"/>
        <w:ind w:left="720"/>
      </w:pPr>
      <w:r>
        <w:rPr>
          <w:b/>
          <w:color w:val="1F4E78"/>
          <w:sz w:val="22"/>
        </w:rPr>
        <w:t>"The Lofts at Riverbend" (250 units, delivered Q4 2022):</w:t>
      </w:r>
      <w:r>
        <w:rPr>
          <w:color w:val="333333"/>
          <w:sz w:val="22"/>
        </w:rPr>
        <w:t xml:space="preserve"> Achieved 92% occupancy within 16 months, averaging 15.6 units/month absorption. Current average effective rent: $2.15 PSF.</w:t>
      </w:r>
    </w:p>
    <w:p>
      <w:pPr>
        <w:pStyle w:val="ListBullet"/>
        <w:ind w:left="720"/>
      </w:pPr>
      <w:r>
        <w:rPr>
          <w:b/>
          <w:color w:val="1F4E78"/>
          <w:sz w:val="22"/>
        </w:rPr>
        <w:t>"Heritage Commons" (180 units, delivered Q2 2023):</w:t>
      </w:r>
      <w:r>
        <w:rPr>
          <w:color w:val="333333"/>
          <w:sz w:val="22"/>
        </w:rPr>
        <w:t xml:space="preserve"> Achieved 88% occupancy within 12 months, averaging 13.2 units/month absorption. Current average effective rent: $2.00 PSF. This property offers slightly less premium amenities.</w:t>
      </w:r>
    </w:p>
    <w:p>
      <w:r>
        <w:rPr>
          <w:color w:val="333333"/>
          <w:sz w:val="22"/>
        </w:rPr>
        <w:t>These absorption rates demonstrate a robust demand for new, quality multi-family housing in the submarket.</w:t>
      </w:r>
    </w:p>
    <w:p>
      <w:pPr>
        <w:pStyle w:val="Heading2"/>
      </w:pPr>
      <w:r>
        <w:rPr>
          <w:color w:val="2E75B6"/>
          <w:sz w:val="30"/>
        </w:rPr>
        <w:t>7. Demand Analysis</w:t>
      </w:r>
    </w:p>
    <w:p>
      <w:pPr>
        <w:pStyle w:val="Heading3"/>
      </w:pPr>
      <w:r>
        <w:rPr>
          <w:color w:val="2E75B6"/>
          <w:sz w:val="26"/>
        </w:rPr>
        <w:t>7.1. Historical Absorption</w:t>
      </w:r>
    </w:p>
    <w:p>
      <w:r>
        <w:rPr>
          <w:color w:val="333333"/>
          <w:sz w:val="22"/>
        </w:rPr>
        <w:t>The Downtown Arts District has exhibited consistent demand for multi-family units, absorbing an average of 300-350 units annually over the past three years. This trend is supported by both organic population growth and demographic shifts favoring urban rental living.</w:t>
      </w:r>
    </w:p>
    <w:p>
      <w:pPr>
        <w:pStyle w:val="Heading3"/>
      </w:pPr>
      <w:r>
        <w:rPr>
          <w:color w:val="2E75B6"/>
          <w:sz w:val="26"/>
        </w:rPr>
        <w:t>7.2. Projected Household Formation</w:t>
      </w:r>
    </w:p>
    <w:p>
      <w:r>
        <w:rPr>
          <w:color w:val="333333"/>
          <w:sz w:val="22"/>
        </w:rPr>
        <w:t>Projected household formation within the Springfield MSA is estimated at 1,500 new households per annum for the next five years. Assuming a conservative 25% of these households will opt for rental housing in the urban core, this translates to an annual demand for 375 new rental units. The proposed So-Good Apartments (280 units) represents approximately 75% of this projected annual demand, indicating a strong market capacity for its integration.</w:t>
      </w:r>
    </w:p>
    <w:p>
      <w:pPr>
        <w:pStyle w:val="Heading3"/>
      </w:pPr>
      <w:r>
        <w:rPr>
          <w:color w:val="2E75B6"/>
          <w:sz w:val="26"/>
        </w:rPr>
        <w:t>7.3. Affordability Ratios</w:t>
      </w:r>
    </w:p>
    <w:p>
      <w:r>
        <w:rPr>
          <w:color w:val="333333"/>
          <w:sz w:val="22"/>
        </w:rPr>
        <w:t>For households earning $100,000 annually, a target rent-to-income ratio of 30% suggests an affordable monthly rent of $2,500. So-Good Apartments' projected average rent of $2,232 ($2.35 PSF * 950 SF) falls comfortably within this affordability threshold for the target demographic. This favorable ratio minimizes tenant turnover risk and supports sustained rent growth.</w:t>
      </w:r>
    </w:p>
    <w:p>
      <w:pPr>
        <w:pStyle w:val="Heading3"/>
      </w:pPr>
      <w:r>
        <w:rPr>
          <w:color w:val="2E75B6"/>
          <w:sz w:val="26"/>
        </w:rPr>
        <w:t>7.4. Demand Generators</w:t>
      </w:r>
    </w:p>
    <w:p>
      <w:pPr>
        <w:pStyle w:val="ListBullet"/>
        <w:ind w:left="720"/>
      </w:pPr>
      <w:r>
        <w:rPr>
          <w:b/>
          <w:color w:val="1F4E78"/>
          <w:sz w:val="22"/>
        </w:rPr>
        <w:t>Springfield University:</w:t>
      </w:r>
      <w:r>
        <w:rPr>
          <w:color w:val="333333"/>
          <w:sz w:val="22"/>
        </w:rPr>
        <w:t xml:space="preserve"> Enrollment growth continues to attract faculty, staff, and graduate students seeking proximity to campus.</w:t>
      </w:r>
    </w:p>
    <w:p>
      <w:pPr>
        <w:pStyle w:val="ListBullet"/>
        <w:ind w:left="720"/>
      </w:pPr>
      <w:r>
        <w:rPr>
          <w:b/>
          <w:color w:val="1F4E78"/>
          <w:sz w:val="22"/>
        </w:rPr>
        <w:t>Downtown Revitalization:</w:t>
      </w:r>
      <w:r>
        <w:rPr>
          <w:color w:val="333333"/>
          <w:sz w:val="22"/>
        </w:rPr>
        <w:t xml:space="preserve"> Ongoing public and private investment, including new retail, dining, and cultural attractions, enhances the district's desirability.</w:t>
      </w:r>
    </w:p>
    <w:p>
      <w:pPr>
        <w:pStyle w:val="ListBullet"/>
        <w:ind w:left="720"/>
      </w:pPr>
      <w:r>
        <w:rPr>
          <w:b/>
          <w:color w:val="1F4E78"/>
          <w:sz w:val="22"/>
        </w:rPr>
        <w:t>Corporate Expansions:</w:t>
      </w:r>
      <w:r>
        <w:rPr>
          <w:color w:val="333333"/>
          <w:sz w:val="22"/>
        </w:rPr>
        <w:t xml:space="preserve"> InnovateTech Solutions recently announced a 15% expansion of its Springfield operations, creating 500 new high-wage positions, many of whom will seek urban rental accommodations.</w:t>
      </w:r>
    </w:p>
    <w:p>
      <w:pPr>
        <w:pStyle w:val="ListBullet"/>
        <w:ind w:left="720"/>
      </w:pPr>
      <w:r>
        <w:rPr>
          <w:b/>
          <w:color w:val="1F4E78"/>
          <w:sz w:val="22"/>
        </w:rPr>
        <w:t>Lifestyle Trends:</w:t>
      </w:r>
      <w:r>
        <w:rPr>
          <w:color w:val="333333"/>
          <w:sz w:val="22"/>
        </w:rPr>
        <w:t xml:space="preserve"> A growing preference among diverse age cohorts for walkable, amenity-rich urban living, reducing reliance on personal vehicles and fostering community engagement.</w:t>
      </w:r>
    </w:p>
    <w:p>
      <w:pPr>
        <w:pStyle w:val="Heading2"/>
      </w:pPr>
      <w:r>
        <w:rPr>
          <w:color w:val="2E75B6"/>
          <w:sz w:val="30"/>
        </w:rPr>
        <w:t>8. Competitive Set Analysis</w:t>
      </w:r>
    </w:p>
    <w:p>
      <w:r>
        <w:rPr>
          <w:color w:val="333333"/>
          <w:sz w:val="22"/>
        </w:rPr>
        <w:t>This analysis identifies three direct Class A+ competitors within a 1-mile radius, which serve as benchmarks for So-Good Apartments' positioning and pricing strategy:</w:t>
      </w:r>
    </w:p>
    <w:p>
      <w:r>
        <w:rPr>
          <w:color w:val="333333"/>
          <w:sz w:val="22"/>
        </w:rPr>
        <w:t xml:space="preserve">| Property Name         | Year Built | Total Units | Occupancy | Avg. Effective Rent/SF | Average Unit Size | Amenities                                                              | Lease-Up Period | | :-------------------- | :--------- | :---------- | :-------- | :--------------------- | :---------------- | :--------------------------------------------------------------------- | :-------------- | | </w:t>
      </w:r>
      <w:r>
        <w:rPr>
          <w:b/>
          <w:color w:val="1F4E78"/>
          <w:sz w:val="22"/>
        </w:rPr>
        <w:t>The Lofts at Riverbend</w:t>
      </w:r>
      <w:r>
        <w:rPr>
          <w:color w:val="333333"/>
          <w:sz w:val="22"/>
        </w:rPr>
        <w:t xml:space="preserve"> | 2022       | 250         | 92%       | $2.15                  | 980 SF            | Rooftop lounge, fitness, pet park, co-working                         | 16 months       | | </w:t>
      </w:r>
      <w:r>
        <w:rPr>
          <w:b/>
          <w:color w:val="1F4E78"/>
          <w:sz w:val="22"/>
        </w:rPr>
        <w:t>Metropolis Towers</w:t>
      </w:r>
      <w:r>
        <w:rPr>
          <w:color w:val="333333"/>
          <w:sz w:val="22"/>
        </w:rPr>
        <w:t xml:space="preserve"> | 2021       | 320         | 95%       | $2.08                  | 920 SF            | Pool, fitness, concierge, resident events                              | 18 months       | | </w:t>
      </w:r>
      <w:r>
        <w:rPr>
          <w:b/>
          <w:color w:val="1F4E78"/>
          <w:sz w:val="22"/>
        </w:rPr>
        <w:t>Uptown Residences</w:t>
      </w:r>
      <w:r>
        <w:rPr>
          <w:color w:val="333333"/>
          <w:sz w:val="22"/>
        </w:rPr>
        <w:t xml:space="preserve"> | 2020       | 190         | 96%       | $2.03                  | 900 SF            | Fitness, communal kitchen, controlled access                           | 14 months       |</w:t>
      </w:r>
    </w:p>
    <w:p>
      <w:r>
        <w:rPr>
          <w:b/>
          <w:color w:val="1F4E78"/>
          <w:sz w:val="22"/>
        </w:rPr>
        <w:t>Analysis:</w:t>
      </w:r>
    </w:p>
    <w:p>
      <w:r>
        <w:rPr>
          <w:color w:val="333333"/>
          <w:sz w:val="22"/>
        </w:rPr>
        <w:t>So-Good Apartments is designed to command a premium due to its anticipated superior finishes, expanded amenity package (including a dedicated concierge and enhanced co-working facilities), and its prime location within the most vibrant quadrant of the Downtown Arts District. The subject property's larger average unit size also justifies a higher absolute rent, while maintaining a competitive PSF rate. The competitive set demonstrates strong occupancy and effective rent growth, validating the demand for high-quality product.</w:t>
      </w:r>
    </w:p>
    <w:p>
      <w:pPr>
        <w:pStyle w:val="Heading2"/>
      </w:pPr>
      <w:r>
        <w:rPr>
          <w:color w:val="2E75B6"/>
          <w:sz w:val="30"/>
        </w:rPr>
        <w:t>9. Rental Rate Projections</w:t>
      </w:r>
    </w:p>
    <w:p>
      <w:r>
        <w:rPr>
          <w:color w:val="333333"/>
          <w:sz w:val="22"/>
        </w:rPr>
        <w:t>Based on the competitive analysis and market fundamentals, the following pro forma rental rates for So-Good Apartments are projected:</w:t>
      </w:r>
    </w:p>
    <w:p>
      <w:pPr>
        <w:pStyle w:val="ListBullet"/>
        <w:ind w:left="720"/>
      </w:pPr>
      <w:r>
        <w:rPr>
          <w:b/>
          <w:color w:val="1F4E78"/>
          <w:sz w:val="22"/>
        </w:rPr>
        <w:t>Studio/1-Bedroom:</w:t>
      </w:r>
      <w:r>
        <w:rPr>
          <w:color w:val="333333"/>
          <w:sz w:val="22"/>
        </w:rPr>
        <w:t xml:space="preserve"> $1,620 - $1,750 (Avg. $2.30 - $2.43 PSF)</w:t>
      </w:r>
    </w:p>
    <w:p>
      <w:pPr>
        <w:pStyle w:val="ListBullet"/>
        <w:ind w:left="720"/>
      </w:pPr>
      <w:r>
        <w:rPr>
          <w:b/>
          <w:color w:val="1F4E78"/>
          <w:sz w:val="22"/>
        </w:rPr>
        <w:t>2-Bedroom/2-Bathroom:</w:t>
      </w:r>
      <w:r>
        <w:rPr>
          <w:color w:val="333333"/>
          <w:sz w:val="22"/>
        </w:rPr>
        <w:t xml:space="preserve"> $2,350 - $2,600 (Avg. $2.24 - $2.48 PSF)</w:t>
      </w:r>
    </w:p>
    <w:p>
      <w:pPr>
        <w:pStyle w:val="ListBullet"/>
        <w:ind w:left="720"/>
      </w:pPr>
      <w:r>
        <w:rPr>
          <w:b/>
          <w:color w:val="1F4E78"/>
          <w:sz w:val="22"/>
        </w:rPr>
        <w:t>3-Bedroom/2-Bathroom:</w:t>
      </w:r>
      <w:r>
        <w:rPr>
          <w:color w:val="333333"/>
          <w:sz w:val="22"/>
        </w:rPr>
        <w:t xml:space="preserve"> $3,050 - $3,380 (Avg. $2.35 - $2.60 PSF)</w:t>
      </w:r>
    </w:p>
    <w:p>
      <w:r>
        <w:rPr>
          <w:b/>
          <w:color w:val="1F4E78"/>
          <w:sz w:val="22"/>
        </w:rPr>
        <w:t>Overall Blended Average Effective Rent:</w:t>
      </w:r>
      <w:r>
        <w:rPr>
          <w:color w:val="333333"/>
          <w:sz w:val="22"/>
        </w:rPr>
        <w:t xml:space="preserve"> $2.35 PSF (initial stabilization).</w:t>
      </w:r>
    </w:p>
    <w:p>
      <w:r>
        <w:rPr>
          <w:color w:val="333333"/>
          <w:sz w:val="22"/>
        </w:rPr>
        <w:t>This represents a 10-15% premium over the current submarket average for Class A properties ($2.05 PSF) and a 5-10% premium over the newest Class A competitors ($2.15 PSF). This premium is explicitly justified by:</w:t>
      </w:r>
    </w:p>
    <w:p>
      <w:pPr>
        <w:pStyle w:val="ListBullet"/>
        <w:ind w:left="720"/>
      </w:pPr>
      <w:r>
        <w:rPr>
          <w:b/>
          <w:color w:val="1F4E78"/>
          <w:sz w:val="22"/>
        </w:rPr>
        <w:t>Superior Architectural Design &amp; Finishes:</w:t>
      </w:r>
      <w:r>
        <w:rPr>
          <w:color w:val="333333"/>
          <w:sz w:val="22"/>
        </w:rPr>
        <w:t xml:space="preserve"> Higher-grade materials, smart home technology.</w:t>
      </w:r>
    </w:p>
    <w:p>
      <w:pPr>
        <w:pStyle w:val="ListBullet"/>
        <w:ind w:left="720"/>
      </w:pPr>
      <w:r>
        <w:rPr>
          <w:b/>
          <w:color w:val="1F4E78"/>
          <w:sz w:val="22"/>
        </w:rPr>
        <w:t>Expanded Amenity Suite:</w:t>
      </w:r>
      <w:r>
        <w:rPr>
          <w:color w:val="333333"/>
          <w:sz w:val="22"/>
        </w:rPr>
        <w:t xml:space="preserve"> Differentiated and more comprehensive than existing supply.</w:t>
      </w:r>
    </w:p>
    <w:p>
      <w:pPr>
        <w:pStyle w:val="ListBullet"/>
        <w:ind w:left="720"/>
      </w:pPr>
      <w:r>
        <w:rPr>
          <w:b/>
          <w:color w:val="1F4E78"/>
          <w:sz w:val="22"/>
        </w:rPr>
        <w:t>Prime Micro-Location:</w:t>
      </w:r>
      <w:r>
        <w:rPr>
          <w:color w:val="333333"/>
          <w:sz w:val="22"/>
        </w:rPr>
        <w:t xml:space="preserve"> Immediate proximity to new retail, dining, and cultural anchor tenants.</w:t>
      </w:r>
    </w:p>
    <w:p>
      <w:pPr>
        <w:pStyle w:val="ListBullet"/>
        <w:ind w:left="720"/>
      </w:pPr>
      <w:r>
        <w:rPr>
          <w:b/>
          <w:color w:val="1F4E78"/>
          <w:sz w:val="22"/>
        </w:rPr>
        <w:t>New Construction Advantage:</w:t>
      </w:r>
      <w:r>
        <w:rPr>
          <w:color w:val="333333"/>
          <w:sz w:val="22"/>
        </w:rPr>
        <w:t xml:space="preserve"> Zero deferred maintenance, contemporary appeal.</w:t>
      </w:r>
    </w:p>
    <w:p>
      <w:pPr>
        <w:pStyle w:val="Heading2"/>
      </w:pPr>
      <w:r>
        <w:rPr>
          <w:color w:val="2E75B6"/>
          <w:sz w:val="30"/>
        </w:rPr>
        <w:t>10. Absorption &amp; Stabilization Projections</w:t>
      </w:r>
    </w:p>
    <w:p>
      <w:r>
        <w:rPr>
          <w:b/>
          <w:color w:val="1F4E78"/>
          <w:sz w:val="22"/>
        </w:rPr>
        <w:t>Commencement of Lease-Up:</w:t>
      </w:r>
      <w:r>
        <w:rPr>
          <w:color w:val="333333"/>
          <w:sz w:val="22"/>
        </w:rPr>
        <w:t xml:space="preserve"> Q3 2026 (upon receipt of Certificate of Occupancy for initial units).</w:t>
      </w:r>
    </w:p>
    <w:p>
      <w:r>
        <w:rPr>
          <w:b/>
          <w:color w:val="1F4E78"/>
          <w:sz w:val="22"/>
        </w:rPr>
        <w:t>Initial Monthly Absorption:</w:t>
      </w:r>
      <w:r>
        <w:rPr>
          <w:color w:val="333333"/>
          <w:sz w:val="22"/>
        </w:rPr>
        <w:t xml:space="preserve"> An aggressive but achievable 18-22 units per month during the initial lease-up phase (first 6-9 months), leveraging pent-up demand and pre-leasing efforts.</w:t>
      </w:r>
    </w:p>
    <w:p>
      <w:r>
        <w:rPr>
          <w:b/>
          <w:color w:val="1F4E78"/>
          <w:sz w:val="22"/>
        </w:rPr>
        <w:t>Post-Initial Lease-Up Absorption:</w:t>
      </w:r>
      <w:r>
        <w:rPr>
          <w:color w:val="333333"/>
          <w:sz w:val="22"/>
        </w:rPr>
        <w:t xml:space="preserve"> 15-18 units per month until stabilization.</w:t>
      </w:r>
    </w:p>
    <w:p>
      <w:r>
        <w:rPr>
          <w:b/>
          <w:color w:val="1F4E78"/>
          <w:sz w:val="22"/>
        </w:rPr>
        <w:t>Projected Stabilization:</w:t>
      </w:r>
      <w:r>
        <w:rPr>
          <w:color w:val="333333"/>
          <w:sz w:val="22"/>
        </w:rPr>
        <w:t xml:space="preserve"> So-Good Apartments is projected to reach a stabilized occupancy of 93% within 18-20 months from the initial Certificate of Occupancy. This assumes a maximum of 24 units/month lease-up velocity, accounting for market fluctuations and competitive deliveries.</w:t>
      </w:r>
    </w:p>
    <w:p>
      <w:r>
        <w:rPr>
          <w:b/>
          <w:color w:val="1F4E78"/>
          <w:sz w:val="22"/>
        </w:rPr>
        <w:t>Stabilized Occupancy Definition:</w:t>
      </w:r>
      <w:r>
        <w:rPr>
          <w:color w:val="333333"/>
          <w:sz w:val="22"/>
        </w:rPr>
        <w:t xml:space="preserve"> 93% physical occupancy for three consecutive months, or sufficient occupancy to generate a Debt Service Coverage Ratio (DSCR) of 1.25x based on pro forma net operating income.</w:t>
      </w:r>
    </w:p>
    <w:p>
      <w:pPr>
        <w:pStyle w:val="Heading2"/>
      </w:pPr>
      <w:r>
        <w:rPr>
          <w:color w:val="2E75B6"/>
          <w:sz w:val="30"/>
        </w:rPr>
        <w:t>11. Conclusion &amp; Recommendations</w:t>
      </w:r>
    </w:p>
    <w:p>
      <w:r>
        <w:rPr>
          <w:color w:val="333333"/>
          <w:sz w:val="22"/>
        </w:rPr>
        <w:t>Based on the foregoing rigorous analysis, So-Good Apartments presents a highly compelling investment opportunity within the Springfield multi-family market. The confluence of strong economic indicators, favorable demographic trends, a manageable competitive pipeline, and a robust demand environment unequivocally supports the project's development.</w:t>
      </w:r>
    </w:p>
    <w:p>
      <w:r>
        <w:rPr>
          <w:color w:val="333333"/>
          <w:sz w:val="22"/>
        </w:rPr>
        <w:t>The proposed rental rates and absorption timelines are well-supported by market comparables and are considered achievable under current and projected market conditions. The Downtown Arts District's revitalization trajectory further de-risks the investment by ensuring sustained demand and value appreciation.</w:t>
      </w:r>
    </w:p>
    <w:p>
      <w:r>
        <w:rPr>
          <w:b/>
          <w:color w:val="1F4E78"/>
          <w:sz w:val="22"/>
        </w:rPr>
        <w:t>Recommendations:</w:t>
      </w:r>
    </w:p>
    <w:p>
      <w:r>
        <w:rPr>
          <w:color w:val="333333"/>
          <w:sz w:val="22"/>
        </w:rPr>
        <w:t xml:space="preserve">1.  </w:t>
      </w:r>
      <w:r>
        <w:rPr>
          <w:b/>
          <w:color w:val="1F4E78"/>
          <w:sz w:val="22"/>
        </w:rPr>
        <w:t>Proceed with Development:</w:t>
      </w:r>
      <w:r>
        <w:rPr>
          <w:color w:val="333333"/>
          <w:sz w:val="22"/>
        </w:rPr>
        <w:t xml:space="preserve"> All market fundamentals align to support the So-Good Apartments development as proposed. 2.  </w:t>
      </w:r>
      <w:r>
        <w:rPr>
          <w:b/>
          <w:color w:val="1F4E78"/>
          <w:sz w:val="22"/>
        </w:rPr>
        <w:t>Monitor Competitive Pipeline:</w:t>
      </w:r>
      <w:r>
        <w:rPr>
          <w:color w:val="333333"/>
          <w:sz w:val="22"/>
        </w:rPr>
        <w:t xml:space="preserve"> Maintain continuous monitoring of the "Metropolitan Residences" project to anticipate any shifts in delivery timelines or pricing strategies. 3.  </w:t>
      </w:r>
      <w:r>
        <w:rPr>
          <w:b/>
          <w:color w:val="1F4E78"/>
          <w:sz w:val="22"/>
        </w:rPr>
        <w:t>Refine Marketing Strategy:</w:t>
      </w:r>
      <w:r>
        <w:rPr>
          <w:color w:val="333333"/>
          <w:sz w:val="22"/>
        </w:rPr>
        <w:t xml:space="preserve"> Tailor pre-leasing and marketing efforts to specifically target both the affluent young professional and empty-nester segments identified in the demographic analysis. 4.  </w:t>
      </w:r>
      <w:r>
        <w:rPr>
          <w:b/>
          <w:color w:val="1F4E78"/>
          <w:sz w:val="22"/>
        </w:rPr>
        <w:t>Value Engineering Review:</w:t>
      </w:r>
      <w:r>
        <w:rPr>
          <w:color w:val="333333"/>
          <w:sz w:val="22"/>
        </w:rPr>
        <w:t xml:space="preserve"> Conduct a final value engineering review to ensure that premium finishes and amenities are cost-effectively integrated without compromising the Class A+ positioning.</w:t>
      </w:r>
    </w:p>
    <w:p>
      <w:r>
        <w:rPr>
          <w:color w:val="333333"/>
          <w:sz w:val="22"/>
        </w:rPr>
        <w:t>This market study confirms that So-Good Apartments is not only viable but is strategically positioned to capture a significant share of the premium multi-family market in Springfield, generating strong and sustainable financial returns for its stakeholders.</w:t>
      </w:r>
    </w:p>
    <w:p>
      <w:pPr>
        <w:jc w:val="center"/>
      </w:pPr>
      <w:r>
        <w:rPr>
          <w:color w:val="CCCCCC"/>
          <w:sz w:val="12"/>
        </w:rPr>
        <w:t>────────────────────────────────────────────────────────────────────────────────</w:t>
      </w:r>
    </w:p>
    <w:p>
      <w:pPr>
        <w:jc w:val="center"/>
      </w:pPr>
      <w:r>
        <w:drawing>
          <wp:inline xmlns:a="http://schemas.openxmlformats.org/drawingml/2006/main" xmlns:pic="http://schemas.openxmlformats.org/drawingml/2006/picture">
            <wp:extent cx="4572000" cy="2134892"/>
            <wp:docPr id="1" name="Picture 1"/>
            <wp:cNvGraphicFramePr>
              <a:graphicFrameLocks noChangeAspect="1"/>
            </wp:cNvGraphicFramePr>
            <a:graphic>
              <a:graphicData uri="http://schemas.openxmlformats.org/drawingml/2006/picture">
                <pic:pic>
                  <pic:nvPicPr>
                    <pic:cNvPr id="0" name="Vicinity.jpeg"/>
                    <pic:cNvPicPr/>
                  </pic:nvPicPr>
                  <pic:blipFill>
                    <a:blip r:embed="rId9"/>
                    <a:stretch>
                      <a:fillRect/>
                    </a:stretch>
                  </pic:blipFill>
                  <pic:spPr>
                    <a:xfrm>
                      <a:off x="0" y="0"/>
                      <a:ext cx="4572000" cy="2134892"/>
                    </a:xfrm>
                    <a:prstGeom prst="rect"/>
                  </pic:spPr>
                </pic:pic>
              </a:graphicData>
            </a:graphic>
          </wp:inline>
        </w:drawing>
      </w:r>
    </w:p>
    <w:p>
      <w:pPr>
        <w:jc w:val="center"/>
      </w:pPr>
      <w:r>
        <w:rPr>
          <w:i/>
          <w:color w:val="707070"/>
          <w:sz w:val="18"/>
        </w:rPr>
        <w:t>Exhibit: Primary Market Area Map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