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PHASE 1 ESA</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1"/>
      </w:pPr>
      <w:r>
        <w:rPr>
          <w:color w:val="1F4E78"/>
          <w:sz w:val="36"/>
        </w:rPr>
        <w:t>PHASE I ENVIRONMENTAL SITE ASSESSMENT REPORT</w:t>
      </w:r>
    </w:p>
    <w:p>
      <w:r>
        <w:rPr>
          <w:b/>
          <w:color w:val="1F4E78"/>
          <w:sz w:val="22"/>
        </w:rPr>
        <w:t>So-Good Apartments Development</w:t>
      </w:r>
      <w:r>
        <w:rPr>
          <w:color w:val="333333"/>
          <w:sz w:val="22"/>
        </w:rPr>
        <w:t xml:space="preserve"> 123 Main Street, Springfield, [State, e.g., IL]</w:t>
      </w:r>
    </w:p>
    <w:p>
      <w:r>
        <w:rPr>
          <w:b/>
          <w:color w:val="1F4E78"/>
          <w:sz w:val="22"/>
        </w:rPr>
        <w:t>Prepared For:</w:t>
      </w:r>
    </w:p>
    <w:p>
      <w:r>
        <w:rPr>
          <w:color w:val="333333"/>
          <w:sz w:val="22"/>
        </w:rPr>
        <w:t>Springfield Development Group, LLC 1400 Corporate Plaza, Suite 200 Springfield, [State]</w:t>
      </w:r>
    </w:p>
    <w:p>
      <w:r>
        <w:rPr>
          <w:b/>
          <w:color w:val="1F4E78"/>
          <w:sz w:val="22"/>
        </w:rPr>
        <w:t>Effective Date of Report:</w:t>
      </w:r>
      <w:r>
        <w:rPr>
          <w:color w:val="333333"/>
          <w:sz w:val="22"/>
        </w:rPr>
        <w:t xml:space="preserve"> October 26, 2023</w:t>
      </w:r>
    </w:p>
    <w:p>
      <w:r>
        <w:rPr>
          <w:b/>
          <w:color w:val="1F4E78"/>
          <w:sz w:val="22"/>
        </w:rPr>
        <w:t>Date of Report:</w:t>
      </w:r>
      <w:r>
        <w:rPr>
          <w:color w:val="333333"/>
          <w:sz w:val="22"/>
        </w:rPr>
        <w:t xml:space="preserve"> October 30, 2023</w:t>
      </w:r>
    </w:p>
    <w:p>
      <w:r>
        <w:rPr>
          <w:b/>
          <w:color w:val="1F4E78"/>
          <w:sz w:val="22"/>
        </w:rPr>
        <w:t>Prepared By:</w:t>
      </w:r>
    </w:p>
    <w:p>
      <w:r>
        <w:rPr>
          <w:color w:val="333333"/>
          <w:sz w:val="22"/>
        </w:rPr>
        <w:t>Apex Environmental Solutions, Inc. 1800 Commerce Way, Suite 101 Springfield, [State] Contact: Dr. Eleanor Vance, Senior Environmental Consultant (License #12345ENV)</w:t>
      </w:r>
    </w:p>
    <w:p>
      <w:pPr>
        <w:pStyle w:val="Heading2"/>
      </w:pPr>
      <w:r>
        <w:rPr>
          <w:color w:val="2E75B6"/>
          <w:sz w:val="30"/>
        </w:rPr>
        <w:t>1.0 EXECUTIVE SUMMARY</w:t>
      </w:r>
    </w:p>
    <w:p>
      <w:r>
        <w:rPr>
          <w:color w:val="333333"/>
          <w:sz w:val="22"/>
        </w:rPr>
        <w:t>Apex Environmental Solutions, Inc. (AES) was retained by Springfield Development Group, LLC (the "Client" or "User") to conduct a Phase I Environmental Site Assessment (ESA) for the property located at 123 Main Street, Springfield, [State] (the "Subject Property"). The purpose of this ESA is to identify recognized environmental conditions (RECs), controlled recognized environmental conditions (CRECs), and historical recognized environmental conditions (HRECs) in connection with the Subject Property, in accordance with the scope and limitations of ASTM International Standard Practice E1527-21, and to assist the User in satisfying the requirements for the "All Appropriate Inquiries" (AAI) defense to CERCLA liability.</w:t>
      </w:r>
    </w:p>
    <w:p>
      <w:r>
        <w:rPr>
          <w:color w:val="333333"/>
          <w:sz w:val="22"/>
        </w:rPr>
        <w:t>The Subject Property comprises approximately 3.5 acres (152,460 square feet) and is currently occupied by a vacant single-story commercial structure and associated paved areas. The Client intends to redevelop the property into a $65,000,000 multi-family apartment complex, 'So-Good Apartments,' comprising 250 residential units and ancillary facilities.</w:t>
      </w:r>
    </w:p>
    <w:p>
      <w:r>
        <w:rPr>
          <w:color w:val="333333"/>
          <w:sz w:val="22"/>
        </w:rPr>
        <w:t>Based on the investigation conducted for this Phase I ESA, which included a site reconnaissance, review of historical and regulatory records, and interviews, one (1) Recognized Environmental Condition (REC) has been identified in connection with the Subject Property:</w:t>
      </w:r>
    </w:p>
    <w:p>
      <w:pPr>
        <w:pStyle w:val="ListBullet"/>
        <w:ind w:left="720"/>
      </w:pPr>
      <w:r>
        <w:rPr>
          <w:b/>
          <w:color w:val="1F4E78"/>
          <w:sz w:val="22"/>
        </w:rPr>
        <w:t>Undocumented Removal of Underground Storage Tanks (USTs) and Potential for Petroleum Impact:</w:t>
      </w:r>
      <w:r>
        <w:rPr>
          <w:color w:val="333333"/>
          <w:sz w:val="22"/>
        </w:rPr>
        <w:t xml:space="preserve"> Historical Sanborn Fire Insurance Maps (1948, 1960) and City Directories (1928-1965) indicate the Subject Property operated as "Springfield Auto Service," a full-service automotive repair and fueling station. These maps clearly depict two (2) USTs (each approximately 1,000-gallon capacity) situated at the eastern perimeter of the former service station building, and one (1) hydraulic lift within the service bay. A thorough review of state (e.g., [State] Department of Environmental Quality - SDEQ) and local (Springfield Fire Department) regulatory agency records revealed no documentation pertaining to the installation, operation, monitoring, removal, or closure of these identified USTs or the hydraulic lift. Despite visual inspection revealing no overt signs of petroleum staining, odors, or stressed vegetation during the site reconnaissance, the absence of proper closure documentation, coupled with the long operational history of a petroleum-dispensing facility, presents a material uncertainty regarding the environmental integrity of the subsurface in these specific areas. This condition constitutes a REC in accordance with ASTM E1527-21.</w:t>
      </w:r>
    </w:p>
    <w:p>
      <w:r>
        <w:rPr>
          <w:b/>
          <w:color w:val="1F4E78"/>
          <w:sz w:val="22"/>
        </w:rPr>
        <w:t>Recommendations:</w:t>
      </w:r>
    </w:p>
    <w:p>
      <w:r>
        <w:rPr>
          <w:color w:val="333333"/>
          <w:sz w:val="22"/>
        </w:rPr>
        <w:t xml:space="preserve">Due to the identified REC, </w:t>
      </w:r>
      <w:r>
        <w:rPr>
          <w:b/>
          <w:color w:val="1F4E78"/>
          <w:sz w:val="22"/>
        </w:rPr>
        <w:t>Apex Environmental Solutions, Inc. recommends the initiation of a Phase II Environmental Site Assessment.</w:t>
      </w:r>
      <w:r>
        <w:rPr>
          <w:color w:val="333333"/>
          <w:sz w:val="22"/>
        </w:rPr>
        <w:t xml:space="preserve"> This Phase II ESA should include, at a minimum, the advancement of soil borings and collection of soil samples from within the suspected former UST basin areas and beneath the former hydraulic lift location. Samples should be analyzed for volatile organic compounds (VOCs), semi-volatile organic compounds (SVOCs), and total petroleum hydrocarbons (TPH) – gasoline range organics (GRO) and diesel range organics (DRO) – to ascertain the presence or absence of subsurface petroleum contamination. Should soil contamination be detected above applicable regulatory screening levels, further investigation, including groundwater assessment, may be warranted.</w:t>
      </w:r>
    </w:p>
    <w:p>
      <w:pPr>
        <w:pStyle w:val="Heading2"/>
      </w:pPr>
      <w:r>
        <w:rPr>
          <w:color w:val="2E75B6"/>
          <w:sz w:val="30"/>
        </w:rPr>
        <w:t>2.0 INTRODUCTION</w:t>
      </w:r>
    </w:p>
    <w:p>
      <w:pPr>
        <w:pStyle w:val="Heading3"/>
      </w:pPr>
      <w:r>
        <w:rPr>
          <w:color w:val="2E75B6"/>
          <w:sz w:val="26"/>
        </w:rPr>
        <w:t>2.1 Purpose and Scope</w:t>
      </w:r>
    </w:p>
    <w:p>
      <w:r>
        <w:rPr>
          <w:color w:val="333333"/>
          <w:sz w:val="22"/>
        </w:rPr>
        <w:t>The objective of this Phase I ESA is to identify, to the extent feasible pursuant to the process described herein, RECs, CRECs, and HRECs in connection with the Subject Property. This assessment was performed in general conformance with the scope and limitations of the ASTM E1527-21 Standard Practice for Environmental Site Assessments: Phase I Environmental Site Assessment Process. This report is intended to assist the User in satisfying the "all appropriate inquiries" provision necessary to qualify for certain landowner liability protections under the Comprehensive Environmental Response, Compensation, and Liability Act (CERCLA), 42 U.S.C. § 9601 et seq., and comparable state laws.</w:t>
      </w:r>
    </w:p>
    <w:p>
      <w:pPr>
        <w:pStyle w:val="Heading3"/>
      </w:pPr>
      <w:r>
        <w:rPr>
          <w:color w:val="2E75B6"/>
          <w:sz w:val="26"/>
        </w:rPr>
        <w:t>2.2 User and Client</w:t>
      </w:r>
    </w:p>
    <w:p>
      <w:r>
        <w:rPr>
          <w:color w:val="333333"/>
          <w:sz w:val="22"/>
        </w:rPr>
        <w:t>The User for whom this report has been prepared is Springfield Development Group, LLC, a Delaware Limited Liability Company, located at 1400 Corporate Plaza, Suite 200, Springfield, [State]. This report may also be relied upon by First Federal Bank, as a prospective lender, subject to the limitations set forth in Section 7.0.</w:t>
      </w:r>
    </w:p>
    <w:p>
      <w:pPr>
        <w:pStyle w:val="Heading3"/>
      </w:pPr>
      <w:r>
        <w:rPr>
          <w:color w:val="2E75B6"/>
          <w:sz w:val="26"/>
        </w:rPr>
        <w:t>2.3 Subject Property</w:t>
      </w:r>
    </w:p>
    <w:p>
      <w:r>
        <w:rPr>
          <w:color w:val="333333"/>
          <w:sz w:val="22"/>
        </w:rPr>
        <w:t>The Subject Property is identified as 123 Main Street, Springfield, [State]. The Assessor's Parcel Number (APN) is 123-456-789. The legal description is Lot 1 of Block B, as recorded in Plat Book 17, Page 23, in the Official Records of Springfield County, [State]. The total land area is approximately 3.5 acres.</w:t>
      </w:r>
    </w:p>
    <w:p>
      <w:pPr>
        <w:pStyle w:val="Heading3"/>
      </w:pPr>
      <w:r>
        <w:rPr>
          <w:color w:val="2E75B6"/>
          <w:sz w:val="26"/>
        </w:rPr>
        <w:t>2.4 Effective Date of Report</w:t>
      </w:r>
    </w:p>
    <w:p>
      <w:r>
        <w:rPr>
          <w:color w:val="333333"/>
          <w:sz w:val="22"/>
        </w:rPr>
        <w:t xml:space="preserve">The effective date of this report, signifying the completion of the environmental professional's site reconnaissance and specific records review, is </w:t>
      </w:r>
      <w:r>
        <w:rPr>
          <w:b/>
          <w:color w:val="1F4E78"/>
          <w:sz w:val="22"/>
        </w:rPr>
        <w:t>October 26, 2023</w:t>
      </w:r>
      <w:r>
        <w:rPr>
          <w:color w:val="333333"/>
          <w:sz w:val="22"/>
        </w:rPr>
        <w:t>.</w:t>
      </w:r>
    </w:p>
    <w:p>
      <w:pPr>
        <w:pStyle w:val="Heading3"/>
      </w:pPr>
      <w:r>
        <w:rPr>
          <w:color w:val="2E75B6"/>
          <w:sz w:val="26"/>
        </w:rPr>
        <w:t>2.5 Environmental Professional Declaration</w:t>
      </w:r>
    </w:p>
    <w:p>
      <w:r>
        <w:rPr>
          <w:color w:val="333333"/>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performed the all appropriate inquiries in conformance with the standards and practices set forth in 40 CFR Part 312 and ASTM E1527-21.</w:t>
      </w:r>
    </w:p>
    <w:p>
      <w:pPr>
        <w:pStyle w:val="Heading2"/>
      </w:pPr>
      <w:r>
        <w:rPr>
          <w:color w:val="2E75B6"/>
          <w:sz w:val="30"/>
        </w:rPr>
        <w:t>3.0 SITE DESCRIPTION</w:t>
      </w:r>
    </w:p>
    <w:p>
      <w:pPr>
        <w:pStyle w:val="Heading3"/>
      </w:pPr>
      <w:r>
        <w:rPr>
          <w:color w:val="2E75B6"/>
          <w:sz w:val="26"/>
        </w:rPr>
        <w:t>3.1 Location and Legal Description</w:t>
      </w:r>
    </w:p>
    <w:p>
      <w:r>
        <w:rPr>
          <w:color w:val="333333"/>
          <w:sz w:val="22"/>
        </w:rPr>
        <w:t>The Subject Property is centrally located within the urban core of Springfield, [State]. The approximate geographic coordinates for the center of the parcel are 39.7990° N latitude and 89.6540° W longitude. The legal description is detailed in Section 2.3.</w:t>
      </w:r>
    </w:p>
    <w:p>
      <w:pPr>
        <w:pStyle w:val="Heading3"/>
      </w:pPr>
      <w:r>
        <w:rPr>
          <w:color w:val="2E75B6"/>
          <w:sz w:val="26"/>
        </w:rPr>
        <w:t>3.2 Site and Vicinity Characteristics</w:t>
      </w:r>
    </w:p>
    <w:p>
      <w:r>
        <w:rPr>
          <w:color w:val="333333"/>
          <w:sz w:val="22"/>
        </w:rPr>
        <w:t>The Subject Property is relatively flat with a slight gradient towards the south, consistent with the local topography. Stormwater runoff generally flows into municipal storm drains located along Main Street. Access to the Subject Property is from Main Street. Public utilities, including water, sewer, natural gas, and electricity, are connected to the existing structure. The Subject Property is currently zoned R-4 (High-Density Residential), a recent reclassification from its prior M-1 (Light Industrial) designation in Q3 2022, facilitating the proposed multi-family development.</w:t>
      </w:r>
    </w:p>
    <w:p>
      <w:r>
        <w:rPr>
          <w:color w:val="333333"/>
          <w:sz w:val="22"/>
        </w:rPr>
        <w:t>Surrounding land uses are diverse:</w:t>
      </w:r>
    </w:p>
    <w:p>
      <w:pPr>
        <w:pStyle w:val="ListBullet"/>
        <w:ind w:left="720"/>
      </w:pPr>
      <w:r>
        <w:rPr>
          <w:b/>
          <w:color w:val="1F4E78"/>
          <w:sz w:val="22"/>
        </w:rPr>
        <w:t>North:</w:t>
      </w:r>
      <w:r>
        <w:rPr>
          <w:color w:val="333333"/>
          <w:sz w:val="22"/>
        </w:rPr>
        <w:t xml:space="preserve"> A multi-tenant retail strip mall, including a dry cleaning establishment (Springfield Cleaners) and an auto parts store (Parts-R-Us).</w:t>
      </w:r>
    </w:p>
    <w:p>
      <w:pPr>
        <w:pStyle w:val="ListBullet"/>
        <w:ind w:left="720"/>
      </w:pPr>
      <w:r>
        <w:rPr>
          <w:b/>
          <w:color w:val="1F4E78"/>
          <w:sz w:val="22"/>
        </w:rPr>
        <w:t>South:</w:t>
      </w:r>
      <w:r>
        <w:rPr>
          <w:color w:val="333333"/>
          <w:sz w:val="22"/>
        </w:rPr>
        <w:t xml:space="preserve"> A vacant, undeveloped lot, historically utilized for light industrial warehousing (c. 1950-1995).</w:t>
      </w:r>
    </w:p>
    <w:p>
      <w:pPr>
        <w:pStyle w:val="ListBullet"/>
        <w:ind w:left="720"/>
      </w:pPr>
      <w:r>
        <w:rPr>
          <w:b/>
          <w:color w:val="1F4E78"/>
          <w:sz w:val="22"/>
        </w:rPr>
        <w:t>East:</w:t>
      </w:r>
      <w:r>
        <w:rPr>
          <w:color w:val="333333"/>
          <w:sz w:val="22"/>
        </w:rPr>
        <w:t xml:space="preserve"> Low-density residential properties.</w:t>
      </w:r>
    </w:p>
    <w:p>
      <w:pPr>
        <w:pStyle w:val="ListBullet"/>
        <w:ind w:left="720"/>
      </w:pPr>
      <w:r>
        <w:rPr>
          <w:b/>
          <w:color w:val="1F4E78"/>
          <w:sz w:val="22"/>
        </w:rPr>
        <w:t>West:</w:t>
      </w:r>
      <w:r>
        <w:rPr>
          <w:color w:val="333333"/>
          <w:sz w:val="22"/>
        </w:rPr>
        <w:t xml:space="preserve"> Main Street, a primary arterial road, beyond which are various commercial properties including a fast-food restaurant and a tire service center.</w:t>
      </w:r>
    </w:p>
    <w:p>
      <w:pPr>
        <w:pStyle w:val="Heading3"/>
      </w:pPr>
      <w:r>
        <w:rPr>
          <w:color w:val="2E75B6"/>
          <w:sz w:val="26"/>
        </w:rPr>
        <w:t>3.3 Current and Past Uses</w:t>
      </w:r>
    </w:p>
    <w:p>
      <w:r>
        <w:rPr>
          <w:color w:val="333333"/>
          <w:sz w:val="22"/>
        </w:rPr>
        <w:t>The Subject Property is presently vacant. The existing structure, approximately 15,000 square feet, appears to be a former light manufacturing or assembly facility, characterized by a single-story brick and steel frame construction.</w:t>
      </w:r>
    </w:p>
    <w:p>
      <w:r>
        <w:rPr>
          <w:color w:val="333333"/>
          <w:sz w:val="22"/>
        </w:rPr>
        <w:t>Based on the historical records review (Section 4.2), the Subject Property's historical uses include:</w:t>
      </w:r>
    </w:p>
    <w:p>
      <w:pPr>
        <w:pStyle w:val="ListBullet"/>
        <w:ind w:left="720"/>
      </w:pPr>
      <w:r>
        <w:rPr>
          <w:b/>
          <w:color w:val="1F4E78"/>
          <w:sz w:val="22"/>
        </w:rPr>
        <w:t>1970 – 2022:</w:t>
      </w:r>
      <w:r>
        <w:rPr>
          <w:color w:val="333333"/>
          <w:sz w:val="22"/>
        </w:rPr>
        <w:t xml:space="preserve"> "Precision Components Inc." – Light manufacturing and assembly of small electronic components.</w:t>
      </w:r>
    </w:p>
    <w:p>
      <w:pPr>
        <w:pStyle w:val="ListBullet"/>
        <w:ind w:left="720"/>
      </w:pPr>
      <w:r>
        <w:rPr>
          <w:b/>
          <w:color w:val="1F4E78"/>
          <w:sz w:val="22"/>
        </w:rPr>
        <w:t>1965 – 1970:</w:t>
      </w:r>
      <w:r>
        <w:rPr>
          <w:color w:val="333333"/>
          <w:sz w:val="22"/>
        </w:rPr>
        <w:t xml:space="preserve"> Vacant.</w:t>
      </w:r>
    </w:p>
    <w:p>
      <w:pPr>
        <w:pStyle w:val="ListBullet"/>
        <w:ind w:left="720"/>
      </w:pPr>
      <w:r>
        <w:rPr>
          <w:b/>
          <w:color w:val="1F4E78"/>
          <w:sz w:val="22"/>
        </w:rPr>
        <w:t>1928 – 1965:</w:t>
      </w:r>
      <w:r>
        <w:rPr>
          <w:color w:val="333333"/>
          <w:sz w:val="22"/>
        </w:rPr>
        <w:t xml:space="preserve"> "Springfield Auto Service" – Automotive repair and fueling station.</w:t>
      </w:r>
    </w:p>
    <w:p>
      <w:pPr>
        <w:pStyle w:val="ListBullet"/>
        <w:ind w:left="720"/>
      </w:pPr>
      <w:r>
        <w:rPr>
          <w:b/>
          <w:color w:val="1F4E78"/>
          <w:sz w:val="22"/>
        </w:rPr>
        <w:t>Pre-1928:</w:t>
      </w:r>
      <w:r>
        <w:rPr>
          <w:color w:val="333333"/>
          <w:sz w:val="22"/>
        </w:rPr>
        <w:t xml:space="preserve"> Undeveloped land.</w:t>
      </w:r>
    </w:p>
    <w:p>
      <w:pPr>
        <w:pStyle w:val="Heading2"/>
      </w:pPr>
      <w:r>
        <w:rPr>
          <w:color w:val="2E75B6"/>
          <w:sz w:val="30"/>
        </w:rPr>
        <w:t>4.0 RECORDS REVIEW</w:t>
      </w:r>
    </w:p>
    <w:p>
      <w:pPr>
        <w:pStyle w:val="Heading3"/>
      </w:pPr>
      <w:r>
        <w:rPr>
          <w:color w:val="2E75B6"/>
          <w:sz w:val="26"/>
        </w:rPr>
        <w:t>4.1 Environmental Database Review</w:t>
      </w:r>
    </w:p>
    <w:p>
      <w:r>
        <w:rPr>
          <w:color w:val="333333"/>
          <w:sz w:val="22"/>
        </w:rPr>
        <w:t>A commercially available environmental database search, conducted by Environmental Data Resources (EDR) on October 20, 2023, was reviewed. The search included federal, state, and tribal lists mandated by ASTM E1527-21 within specified search radii. Key findings include:</w:t>
      </w:r>
    </w:p>
    <w:p>
      <w:pPr>
        <w:pStyle w:val="ListBullet"/>
        <w:ind w:left="720"/>
      </w:pPr>
      <w:r>
        <w:rPr>
          <w:b/>
          <w:color w:val="1F4E78"/>
          <w:sz w:val="22"/>
        </w:rPr>
        <w:t>NPL (National Priorities List):</w:t>
      </w:r>
      <w:r>
        <w:rPr>
          <w:color w:val="333333"/>
          <w:sz w:val="22"/>
        </w:rPr>
        <w:t xml:space="preserve"> No sites identified within 1.0 mile.</w:t>
      </w:r>
    </w:p>
    <w:p>
      <w:pPr>
        <w:pStyle w:val="ListBullet"/>
        <w:ind w:left="720"/>
      </w:pPr>
      <w:r>
        <w:rPr>
          <w:b/>
          <w:color w:val="1F4E78"/>
          <w:sz w:val="22"/>
        </w:rPr>
        <w:t>CERCLIS (Comprehensive Environmental Response, Compensation, and Liability Information System):</w:t>
      </w:r>
      <w:r>
        <w:rPr>
          <w:color w:val="333333"/>
          <w:sz w:val="22"/>
        </w:rPr>
        <w:t xml:space="preserve"> No sites identified within 0.5 mile.</w:t>
      </w:r>
    </w:p>
    <w:p>
      <w:pPr>
        <w:pStyle w:val="ListBullet"/>
        <w:ind w:left="720"/>
      </w:pPr>
      <w:r>
        <w:rPr>
          <w:b/>
          <w:color w:val="1F4E78"/>
          <w:sz w:val="22"/>
        </w:rPr>
        <w:t>RCRA CORRACT (Corrective Action Sites):</w:t>
      </w:r>
      <w:r>
        <w:rPr>
          <w:color w:val="333333"/>
          <w:sz w:val="22"/>
        </w:rPr>
        <w:t xml:space="preserve"> One site, "Midwest Chemical Corp.," located approximately 0.8 miles northwest, listed as undergoing corrective action. Due to the distance, hydrogeological separation (site topography suggests flow away from subject), and nature of operations, this facility is not considered a REC for the Subject Property.</w:t>
      </w:r>
    </w:p>
    <w:p>
      <w:pPr>
        <w:pStyle w:val="ListBullet"/>
        <w:ind w:left="720"/>
      </w:pPr>
      <w:r>
        <w:rPr>
          <w:b/>
          <w:color w:val="1F4E78"/>
          <w:sz w:val="22"/>
        </w:rPr>
        <w:t>RCRA TSD (Treatment, Storage, Disposal Facilities):</w:t>
      </w:r>
      <w:r>
        <w:rPr>
          <w:color w:val="333333"/>
          <w:sz w:val="22"/>
        </w:rPr>
        <w:t xml:space="preserve"> No sites identified within 0.5 mile.</w:t>
      </w:r>
    </w:p>
    <w:p>
      <w:pPr>
        <w:pStyle w:val="ListBullet"/>
        <w:ind w:left="720"/>
      </w:pPr>
      <w:r>
        <w:rPr>
          <w:b/>
          <w:color w:val="1F4E78"/>
          <w:sz w:val="22"/>
        </w:rPr>
        <w:t>RCRA GEN (Generators):</w:t>
      </w:r>
      <w:r>
        <w:rPr>
          <w:color w:val="333333"/>
          <w:sz w:val="22"/>
        </w:rPr>
        <w:t xml:space="preserve"> Two (2) small quantity generators (SQGs) identified within 0.25 miles. "Springfield Cleaners" (adjacent north) and "Parts-R-Us" (adjacent north). Both are typical of such operations and are not considered RECs for the Subject Property based on current information.</w:t>
      </w:r>
    </w:p>
    <w:p>
      <w:pPr>
        <w:pStyle w:val="ListBullet"/>
        <w:ind w:left="720"/>
      </w:pPr>
      <w:r>
        <w:rPr>
          <w:b/>
          <w:color w:val="1F4E78"/>
          <w:sz w:val="22"/>
        </w:rPr>
        <w:t>UST (Underground Storage Tanks):</w:t>
      </w:r>
      <w:r>
        <w:rPr>
          <w:color w:val="333333"/>
          <w:sz w:val="22"/>
        </w:rPr>
        <w:t xml:space="preserve"> Two (2) active UST facilities identified within 0.25 miles. "Main Street Shell" (0.15 miles west, across Main Street) and "Springfield Tire &amp; Auto" (0.22 miles southwest). Both appear to be in compliance with regulatory requirements.</w:t>
      </w:r>
    </w:p>
    <w:p>
      <w:pPr>
        <w:pStyle w:val="ListBullet"/>
        <w:ind w:left="720"/>
      </w:pPr>
      <w:r>
        <w:rPr>
          <w:b/>
          <w:color w:val="1F4E78"/>
          <w:sz w:val="22"/>
        </w:rPr>
        <w:t>LUST (Leaking Underground Storage Tanks):</w:t>
      </w:r>
      <w:r>
        <w:rPr>
          <w:color w:val="333333"/>
          <w:sz w:val="22"/>
        </w:rPr>
        <w:t xml:space="preserve"> One (1) LUST site, "Former Corner Market," located 0.7 miles east-northeast. This site underwent closure in 2005 with a "No Further Action" letter issued by SDEQ. Due to significant distance and documented closure, it is not considered a REC.</w:t>
      </w:r>
    </w:p>
    <w:p>
      <w:pPr>
        <w:pStyle w:val="ListBullet"/>
        <w:ind w:left="720"/>
      </w:pPr>
      <w:r>
        <w:rPr>
          <w:b/>
          <w:color w:val="1F4E78"/>
          <w:sz w:val="22"/>
        </w:rPr>
        <w:t>STATE SPILLS LIST:</w:t>
      </w:r>
      <w:r>
        <w:rPr>
          <w:color w:val="333333"/>
          <w:sz w:val="22"/>
        </w:rPr>
        <w:t xml:space="preserve"> No open spill incidents identified for the Subject Property.</w:t>
      </w:r>
    </w:p>
    <w:p>
      <w:pPr>
        <w:pStyle w:val="Heading3"/>
      </w:pPr>
      <w:r>
        <w:rPr>
          <w:color w:val="2E75B6"/>
          <w:sz w:val="26"/>
        </w:rPr>
        <w:t>4.2 Historical Records Review</w:t>
      </w:r>
    </w:p>
    <w:p>
      <w:r>
        <w:rPr>
          <w:color w:val="333333"/>
          <w:sz w:val="22"/>
        </w:rPr>
        <w:t>Historical usage of the Subject Property and adjacent parcels was researched through a review of aerial photographs, Sanborn Fire Insurance Maps, city directories, and chain of title.</w:t>
      </w:r>
    </w:p>
    <w:p>
      <w:pPr>
        <w:pStyle w:val="ListBullet"/>
        <w:ind w:left="720"/>
      </w:pPr>
      <w:r>
        <w:rPr>
          <w:b/>
          <w:color w:val="1F4E78"/>
          <w:sz w:val="22"/>
        </w:rPr>
        <w:t>Aerial Photographs:</w:t>
      </w:r>
      <w:r>
        <w:rPr>
          <w:color w:val="333333"/>
          <w:sz w:val="22"/>
        </w:rPr>
        <w:t xml:space="preserve"> Reviewed for years 1950, 1965, 1978, 1990, 2005, and 2023.</w:t>
      </w:r>
    </w:p>
    <w:p>
      <w:pPr>
        <w:pStyle w:val="ListBullet"/>
        <w:ind w:left="1080"/>
      </w:pPr>
      <w:r>
        <w:rPr>
          <w:b/>
          <w:color w:val="1F4E78"/>
          <w:sz w:val="22"/>
        </w:rPr>
        <w:t>1950 &amp; 1965:</w:t>
      </w:r>
      <w:r>
        <w:rPr>
          <w:color w:val="333333"/>
          <w:sz w:val="22"/>
        </w:rPr>
        <w:t xml:space="preserve"> Depict "Springfield Auto Service" building, consistent with a vehicle service station, with apparent fueling islands and vehicle access.</w:t>
      </w:r>
    </w:p>
    <w:p>
      <w:pPr>
        <w:pStyle w:val="ListBullet"/>
        <w:ind w:left="1080"/>
      </w:pPr>
      <w:r>
        <w:rPr>
          <w:b/>
          <w:color w:val="1F4E78"/>
          <w:sz w:val="22"/>
        </w:rPr>
        <w:t>1978, 1990, 2005:</w:t>
      </w:r>
      <w:r>
        <w:rPr>
          <w:color w:val="333333"/>
          <w:sz w:val="22"/>
        </w:rPr>
        <w:t xml:space="preserve"> Show the larger "Precision Components Inc." facility, with no visible signs of previous auto service infrastructure. Paved areas and building footprints are consistent with light manufacturing.</w:t>
      </w:r>
    </w:p>
    <w:p>
      <w:pPr>
        <w:pStyle w:val="ListBullet"/>
        <w:ind w:left="1080"/>
      </w:pPr>
      <w:r>
        <w:rPr>
          <w:b/>
          <w:color w:val="1F4E78"/>
          <w:sz w:val="22"/>
        </w:rPr>
        <w:t>2023:</w:t>
      </w:r>
      <w:r>
        <w:rPr>
          <w:color w:val="333333"/>
          <w:sz w:val="22"/>
        </w:rPr>
        <w:t xml:space="preserve"> Shows the vacant site with the existing structure.</w:t>
      </w:r>
    </w:p>
    <w:p>
      <w:pPr>
        <w:pStyle w:val="ListBullet"/>
        <w:ind w:left="720"/>
      </w:pPr>
      <w:r>
        <w:rPr>
          <w:b/>
          <w:color w:val="1F4E78"/>
          <w:sz w:val="22"/>
        </w:rPr>
        <w:t>Sanborn Fire Insurance Maps:</w:t>
      </w:r>
      <w:r>
        <w:rPr>
          <w:color w:val="333333"/>
          <w:sz w:val="22"/>
        </w:rPr>
        <w:t xml:space="preserve"> Reviewed for years 1910, 1925, 1948, and 1960.</w:t>
      </w:r>
    </w:p>
    <w:p>
      <w:pPr>
        <w:pStyle w:val="ListBullet"/>
        <w:ind w:left="1080"/>
      </w:pPr>
      <w:r>
        <w:rPr>
          <w:b/>
          <w:color w:val="1F4E78"/>
          <w:sz w:val="22"/>
        </w:rPr>
        <w:t>1910, 1925:</w:t>
      </w:r>
      <w:r>
        <w:rPr>
          <w:color w:val="333333"/>
          <w:sz w:val="22"/>
        </w:rPr>
        <w:t xml:space="preserve"> Subject Property shown as undeveloped.</w:t>
      </w:r>
    </w:p>
    <w:p>
      <w:pPr>
        <w:pStyle w:val="ListBullet"/>
        <w:ind w:left="1080"/>
      </w:pPr>
      <w:r>
        <w:rPr>
          <w:b/>
          <w:color w:val="1F4E78"/>
          <w:sz w:val="22"/>
        </w:rPr>
        <w:t>1948 &amp; 1960:</w:t>
      </w:r>
      <w:r>
        <w:rPr>
          <w:color w:val="333333"/>
          <w:sz w:val="22"/>
        </w:rPr>
        <w:t xml:space="preserve"> Clearly depict "Springfield Auto Service" with a garage building. Critically, these maps denote </w:t>
      </w:r>
      <w:r>
        <w:rPr>
          <w:b/>
          <w:color w:val="1F4E78"/>
          <w:sz w:val="22"/>
        </w:rPr>
        <w:t>two (2) USTs</w:t>
      </w:r>
      <w:r>
        <w:rPr>
          <w:color w:val="333333"/>
          <w:sz w:val="22"/>
        </w:rPr>
        <w:t xml:space="preserve"> (labeled "Gasoline") at the eastern side of the building and an "Auto Lift" within one of the bays. These maps are highly indicative of the REC identified in Section 1.0.</w:t>
      </w:r>
    </w:p>
    <w:p>
      <w:pPr>
        <w:pStyle w:val="ListBullet"/>
        <w:ind w:left="720"/>
      </w:pPr>
      <w:r>
        <w:rPr>
          <w:b/>
          <w:color w:val="1F4E78"/>
          <w:sz w:val="22"/>
        </w:rPr>
        <w:t>City Directories:</w:t>
      </w:r>
      <w:r>
        <w:rPr>
          <w:color w:val="333333"/>
          <w:sz w:val="22"/>
        </w:rPr>
        <w:t xml:space="preserve"> Reviewed for years 1920, 1935, 1955, 1970, 1995, and 2010.</w:t>
      </w:r>
    </w:p>
    <w:p>
      <w:pPr>
        <w:pStyle w:val="ListBullet"/>
        <w:ind w:left="1080"/>
      </w:pPr>
      <w:r>
        <w:rPr>
          <w:b/>
          <w:color w:val="1F4E78"/>
          <w:sz w:val="22"/>
        </w:rPr>
        <w:t>1920:</w:t>
      </w:r>
      <w:r>
        <w:rPr>
          <w:color w:val="333333"/>
          <w:sz w:val="22"/>
        </w:rPr>
        <w:t xml:space="preserve"> Subject Property listed as vacant.</w:t>
      </w:r>
    </w:p>
    <w:p>
      <w:pPr>
        <w:pStyle w:val="ListBullet"/>
        <w:ind w:left="1080"/>
      </w:pPr>
      <w:r>
        <w:rPr>
          <w:b/>
          <w:color w:val="1F4E78"/>
          <w:sz w:val="22"/>
        </w:rPr>
        <w:t>1935, 1955:</w:t>
      </w:r>
      <w:r>
        <w:rPr>
          <w:color w:val="333333"/>
          <w:sz w:val="22"/>
        </w:rPr>
        <w:t xml:space="preserve"> Listing for "Springfield Auto Service" at 123 Main Street.</w:t>
      </w:r>
    </w:p>
    <w:p>
      <w:pPr>
        <w:pStyle w:val="ListBullet"/>
        <w:ind w:left="1080"/>
      </w:pPr>
      <w:r>
        <w:rPr>
          <w:b/>
          <w:color w:val="1F4E78"/>
          <w:sz w:val="22"/>
        </w:rPr>
        <w:t>1970, 1995, 2010:</w:t>
      </w:r>
      <w:r>
        <w:rPr>
          <w:color w:val="333333"/>
          <w:sz w:val="22"/>
        </w:rPr>
        <w:t xml:space="preserve"> Listings for "Precision Components Inc." at 123 Main Street.</w:t>
      </w:r>
    </w:p>
    <w:p>
      <w:pPr>
        <w:pStyle w:val="ListBullet"/>
        <w:ind w:left="720"/>
      </w:pPr>
      <w:r>
        <w:rPr>
          <w:b/>
          <w:color w:val="1F4E78"/>
          <w:sz w:val="22"/>
        </w:rPr>
        <w:t>Chain of Title Review:</w:t>
      </w:r>
      <w:r>
        <w:rPr>
          <w:color w:val="333333"/>
          <w:sz w:val="22"/>
        </w:rPr>
        <w:t xml:space="preserve"> A limited chain of title search was conducted for the period 1920 to present.</w:t>
      </w:r>
    </w:p>
    <w:p>
      <w:pPr>
        <w:pStyle w:val="ListBullet"/>
        <w:ind w:left="1080"/>
      </w:pPr>
      <w:r>
        <w:rPr>
          <w:b/>
          <w:color w:val="1F4E78"/>
          <w:sz w:val="22"/>
        </w:rPr>
        <w:t>1920-1927:</w:t>
      </w:r>
      <w:r>
        <w:rPr>
          <w:color w:val="333333"/>
          <w:sz w:val="22"/>
        </w:rPr>
        <w:t xml:space="preserve"> Owned by James C. McPherson.</w:t>
      </w:r>
    </w:p>
    <w:p>
      <w:pPr>
        <w:pStyle w:val="ListBullet"/>
        <w:ind w:left="1080"/>
      </w:pPr>
      <w:r>
        <w:rPr>
          <w:b/>
          <w:color w:val="1F4E78"/>
          <w:sz w:val="22"/>
        </w:rPr>
        <w:t>1927-1968:</w:t>
      </w:r>
      <w:r>
        <w:rPr>
          <w:color w:val="333333"/>
          <w:sz w:val="22"/>
        </w:rPr>
        <w:t xml:space="preserve"> Owned by Springfield Service Company (operating as Springfield Auto Service).</w:t>
      </w:r>
    </w:p>
    <w:p>
      <w:pPr>
        <w:pStyle w:val="ListBullet"/>
        <w:ind w:left="1080"/>
      </w:pPr>
      <w:r>
        <w:rPr>
          <w:b/>
          <w:color w:val="1F4E78"/>
          <w:sz w:val="22"/>
        </w:rPr>
        <w:t>1968-2022:</w:t>
      </w:r>
      <w:r>
        <w:rPr>
          <w:color w:val="333333"/>
          <w:sz w:val="22"/>
        </w:rPr>
        <w:t xml:space="preserve"> Owned by Precision Components Corporation.</w:t>
      </w:r>
    </w:p>
    <w:p>
      <w:pPr>
        <w:pStyle w:val="ListBullet"/>
        <w:ind w:left="1080"/>
      </w:pPr>
      <w:r>
        <w:rPr>
          <w:b/>
          <w:color w:val="1F4E78"/>
          <w:sz w:val="22"/>
        </w:rPr>
        <w:t>2022-Present:</w:t>
      </w:r>
      <w:r>
        <w:rPr>
          <w:color w:val="333333"/>
          <w:sz w:val="22"/>
        </w:rPr>
        <w:t xml:space="preserve"> Owned by Springfield Holdings Corp. (current vendor to the Client). No environmentally specific liens or use restrictions were noted.</w:t>
      </w:r>
    </w:p>
    <w:p>
      <w:pPr>
        <w:pStyle w:val="Heading3"/>
      </w:pPr>
      <w:r>
        <w:rPr>
          <w:color w:val="2E75B6"/>
          <w:sz w:val="26"/>
        </w:rPr>
        <w:t>4.3 Regulatory Agency File Review</w:t>
      </w:r>
    </w:p>
    <w:p>
      <w:r>
        <w:rPr>
          <w:color w:val="333333"/>
          <w:sz w:val="22"/>
        </w:rPr>
        <w:t>Inquiries were made to the SDEQ ([State] Department of Environmental Quality) and the Springfield Fire Department (SFD) regarding any records pertaining to the Subject Property.</w:t>
      </w:r>
    </w:p>
    <w:p>
      <w:pPr>
        <w:pStyle w:val="ListBullet"/>
        <w:ind w:left="720"/>
      </w:pPr>
      <w:r>
        <w:rPr>
          <w:b/>
          <w:color w:val="1F4E78"/>
          <w:sz w:val="22"/>
        </w:rPr>
        <w:t>SDEQ:</w:t>
      </w:r>
      <w:r>
        <w:rPr>
          <w:color w:val="333333"/>
          <w:sz w:val="22"/>
        </w:rPr>
        <w:t xml:space="preserve"> No environmental enforcement actions, reported spills, or documented UST registrations/closures were found for 123 Main Street, Springfield. The lack of UST closure documentation for "Springfield Auto Service" further supports the identified REC.</w:t>
      </w:r>
    </w:p>
    <w:p>
      <w:pPr>
        <w:pStyle w:val="ListBullet"/>
        <w:ind w:left="720"/>
      </w:pPr>
      <w:r>
        <w:rPr>
          <w:b/>
          <w:color w:val="1F4E78"/>
          <w:sz w:val="22"/>
        </w:rPr>
        <w:t>SFD:</w:t>
      </w:r>
      <w:r>
        <w:rPr>
          <w:color w:val="333333"/>
          <w:sz w:val="22"/>
        </w:rPr>
        <w:t xml:space="preserve"> Confirmed no records of UST permits or removals for the Subject Property address.</w:t>
      </w:r>
    </w:p>
    <w:p>
      <w:pPr>
        <w:pStyle w:val="Heading2"/>
      </w:pPr>
      <w:r>
        <w:rPr>
          <w:color w:val="2E75B6"/>
          <w:sz w:val="30"/>
        </w:rPr>
        <w:t>5.0 SITE RECONNAISSANCE</w:t>
      </w:r>
    </w:p>
    <w:p>
      <w:r>
        <w:rPr>
          <w:color w:val="333333"/>
          <w:sz w:val="22"/>
        </w:rPr>
        <w:t xml:space="preserve">Dr. Eleanor Vance, Senior Environmental Consultant, conducted a visual inspection of the Subject Property and readily observable adjacent properties on </w:t>
      </w:r>
      <w:r>
        <w:rPr>
          <w:b/>
          <w:color w:val="1F4E78"/>
          <w:sz w:val="22"/>
        </w:rPr>
        <w:t>October 26, 2023, from 10:30 AM to 12:45 PM</w:t>
      </w:r>
      <w:r>
        <w:rPr>
          <w:color w:val="333333"/>
          <w:sz w:val="22"/>
        </w:rPr>
        <w:t>. Weather conditions were clear and cool (55°F).</w:t>
      </w:r>
    </w:p>
    <w:p>
      <w:pPr>
        <w:pStyle w:val="Heading3"/>
      </w:pPr>
      <w:r>
        <w:rPr>
          <w:color w:val="2E75B6"/>
          <w:sz w:val="26"/>
        </w:rPr>
        <w:t>5.1 Subject Property Reconnaissance</w:t>
      </w:r>
    </w:p>
    <w:p>
      <w:pPr>
        <w:pStyle w:val="ListBullet"/>
        <w:ind w:left="720"/>
      </w:pPr>
      <w:r>
        <w:rPr>
          <w:b/>
          <w:color w:val="1F4E78"/>
          <w:sz w:val="22"/>
        </w:rPr>
        <w:t>Exterior:</w:t>
      </w:r>
      <w:r>
        <w:rPr>
          <w:color w:val="333333"/>
          <w:sz w:val="22"/>
        </w:rPr>
        <w:t xml:space="preserve"> The Subject Property is largely covered by asphalt paving and the existing 15,000 sq ft concrete-slab-on-grade building. No visible evidence of stressed vegetation, unpaved areas, surface staining, sumps, or unidentifiable drums was observed. No discernable UST fill/vent pipes or ASTs were noted. A small transformer mounted on a utility pole on the northwest corner of the property was observed; it appeared to be in good condition with no leaks or PCB warning labels.</w:t>
      </w:r>
    </w:p>
    <w:p>
      <w:pPr>
        <w:pStyle w:val="ListBullet"/>
        <w:ind w:left="720"/>
      </w:pPr>
      <w:r>
        <w:rPr>
          <w:b/>
          <w:color w:val="1F4E78"/>
          <w:sz w:val="22"/>
        </w:rPr>
        <w:t>Interior:</w:t>
      </w:r>
      <w:r>
        <w:rPr>
          <w:color w:val="333333"/>
          <w:sz w:val="22"/>
        </w:rPr>
        <w:t xml:space="preserve"> The interior of the vacant building was accessed. The concrete floor slab showed minor cracks consistent with age but no major petroleum staining or other chemical spills. No floor drains leading to unknown discharge points were observed. Obvious ACMs (e.g., friable pipe insulation) were not identified, though non-friable materials could be present. No significant mold growth or lead-based paint was overtly visible. The building's operational past as "Precision Components Inc." did not leave obvious signs of hazardous material storage or use beyond typical light manufacturing. No evidence of current or historical hydraulic lifts was observed, indicating it was likely removed during the "Precision Components Inc." era, but without documentation.</w:t>
      </w:r>
    </w:p>
    <w:p>
      <w:pPr>
        <w:pStyle w:val="Heading3"/>
      </w:pPr>
      <w:r>
        <w:rPr>
          <w:color w:val="2E75B6"/>
          <w:sz w:val="26"/>
        </w:rPr>
        <w:t>5.2 Adjacent Properties Reconnaissance</w:t>
      </w:r>
    </w:p>
    <w:p>
      <w:pPr>
        <w:pStyle w:val="ListBullet"/>
        <w:ind w:left="720"/>
      </w:pPr>
      <w:r>
        <w:rPr>
          <w:b/>
          <w:color w:val="1F4E78"/>
          <w:sz w:val="22"/>
        </w:rPr>
        <w:t>North (Springfield Cleaners &amp; Parts-R-Us):</w:t>
      </w:r>
      <w:r>
        <w:rPr>
          <w:color w:val="333333"/>
          <w:sz w:val="22"/>
        </w:rPr>
        <w:t xml:space="preserve"> Visually inspected from the Subject Property boundaries and public right-of-way. No obvious exterior spills, odors, or issues associated with the dry cleaner or auto parts store were noted. The dry cleaner is a listed RCRA SQG.</w:t>
      </w:r>
    </w:p>
    <w:p>
      <w:pPr>
        <w:pStyle w:val="ListBullet"/>
        <w:ind w:left="720"/>
      </w:pPr>
      <w:r>
        <w:rPr>
          <w:b/>
          <w:color w:val="1F4E78"/>
          <w:sz w:val="22"/>
        </w:rPr>
        <w:t>South (Vacant Lot):</w:t>
      </w:r>
      <w:r>
        <w:rPr>
          <w:color w:val="333333"/>
          <w:sz w:val="22"/>
        </w:rPr>
        <w:t xml:space="preserve"> Undeveloped, mostly overgrown, with no apparent environmental concerns.</w:t>
      </w:r>
    </w:p>
    <w:p>
      <w:pPr>
        <w:pStyle w:val="ListBullet"/>
        <w:ind w:left="720"/>
      </w:pPr>
      <w:r>
        <w:rPr>
          <w:b/>
          <w:color w:val="1F4E78"/>
          <w:sz w:val="22"/>
        </w:rPr>
        <w:t>East (Residential):</w:t>
      </w:r>
      <w:r>
        <w:rPr>
          <w:color w:val="333333"/>
          <w:sz w:val="22"/>
        </w:rPr>
        <w:t xml:space="preserve"> Well-maintained residential properties; no apparent environmental issues.</w:t>
      </w:r>
    </w:p>
    <w:p>
      <w:pPr>
        <w:pStyle w:val="ListBullet"/>
        <w:ind w:left="720"/>
      </w:pPr>
      <w:r>
        <w:rPr>
          <w:b/>
          <w:color w:val="1F4E78"/>
          <w:sz w:val="22"/>
        </w:rPr>
        <w:t>West (Main Street &amp; Commercial):</w:t>
      </w:r>
      <w:r>
        <w:rPr>
          <w:color w:val="333333"/>
          <w:sz w:val="22"/>
        </w:rPr>
        <w:t xml:space="preserve"> Commercial establishments appear typical for their operations; no observable environmental concerns.</w:t>
      </w:r>
    </w:p>
    <w:p>
      <w:pPr>
        <w:pStyle w:val="Heading2"/>
      </w:pPr>
      <w:r>
        <w:rPr>
          <w:color w:val="2E75B6"/>
          <w:sz w:val="30"/>
        </w:rPr>
        <w:t>6.0 INTERVIEWS</w:t>
      </w:r>
    </w:p>
    <w:p>
      <w:pPr>
        <w:pStyle w:val="Heading3"/>
      </w:pPr>
      <w:r>
        <w:rPr>
          <w:color w:val="2E75B6"/>
          <w:sz w:val="26"/>
        </w:rPr>
        <w:t>6.1 Owner/Operator Interview</w:t>
      </w:r>
    </w:p>
    <w:p>
      <w:r>
        <w:rPr>
          <w:color w:val="333333"/>
          <w:sz w:val="22"/>
        </w:rPr>
        <w:t>Mr. Robert Sterling, President of Springfield Holdings Corp., the current owner, was interviewed on October 25, 2023. Mr. Sterling stated he purchased the property in 2022 and has no direct knowledge of its historical operations, particularly prior to Precision Components Inc. He confirmed no environmental reports or documentation were provided to him at the time of purchase. He stated no hazardous substances have been stored or released on the property during his ownership.</w:t>
      </w:r>
    </w:p>
    <w:p>
      <w:pPr>
        <w:pStyle w:val="Heading3"/>
      </w:pPr>
      <w:r>
        <w:rPr>
          <w:color w:val="2E75B6"/>
          <w:sz w:val="26"/>
        </w:rPr>
        <w:t>6.2 Local Government Officials Interview</w:t>
      </w:r>
    </w:p>
    <w:p>
      <w:pPr>
        <w:pStyle w:val="ListBullet"/>
        <w:ind w:left="720"/>
      </w:pPr>
      <w:r>
        <w:rPr>
          <w:b/>
          <w:color w:val="1F4E78"/>
          <w:sz w:val="22"/>
        </w:rPr>
        <w:t>Springfield Fire Department (SFD):</w:t>
      </w:r>
      <w:r>
        <w:rPr>
          <w:color w:val="333333"/>
          <w:sz w:val="22"/>
        </w:rPr>
        <w:t xml:space="preserve"> Lieutenant Maria Rodriguez (Fire Marshal) confirmed the lack of UST records for 123 Main Street during a phone interview on October 24, 2023.</w:t>
      </w:r>
    </w:p>
    <w:p>
      <w:pPr>
        <w:pStyle w:val="ListBullet"/>
        <w:ind w:left="720"/>
      </w:pPr>
      <w:r>
        <w:rPr>
          <w:b/>
          <w:color w:val="1F4E78"/>
          <w:sz w:val="22"/>
        </w:rPr>
        <w:t>Springfield Planning Department:</w:t>
      </w:r>
      <w:r>
        <w:rPr>
          <w:color w:val="333333"/>
          <w:sz w:val="22"/>
        </w:rPr>
        <w:t xml:space="preserve"> Confirmed the recent re-zoning to R-4 High-Density Residential on October 23, 2023.</w:t>
      </w:r>
    </w:p>
    <w:p>
      <w:pPr>
        <w:pStyle w:val="Heading2"/>
      </w:pPr>
      <w:r>
        <w:rPr>
          <w:color w:val="2E75B6"/>
          <w:sz w:val="30"/>
        </w:rPr>
        <w:t>7.0 FINDINGS, OPINION, AND CONCLUSIONS</w:t>
      </w:r>
    </w:p>
    <w:p>
      <w:pPr>
        <w:pStyle w:val="Heading3"/>
      </w:pPr>
      <w:r>
        <w:rPr>
          <w:color w:val="2E75B6"/>
          <w:sz w:val="26"/>
        </w:rPr>
        <w:t>7.1 Recognized Environmental Conditions (RECs)</w:t>
      </w:r>
    </w:p>
    <w:p>
      <w:r>
        <w:rPr>
          <w:color w:val="333333"/>
          <w:sz w:val="22"/>
        </w:rPr>
        <w:t xml:space="preserve">A </w:t>
      </w:r>
      <w:r>
        <w:rPr>
          <w:b/>
          <w:color w:val="1F4E78"/>
          <w:sz w:val="22"/>
        </w:rPr>
        <w:t>Recognized Environmental Condition (REC)</w:t>
      </w:r>
      <w:r>
        <w:rPr>
          <w:color w:val="333333"/>
          <w:sz w:val="22"/>
        </w:rPr>
        <w:t xml:space="preserve"> is defined by ASTM E1527-21 as the presence or likely presence of any hazardous substances or petroleum products in, on, or at a property: (1) due to any release to the environment; (2) under conditions indicative of a release to the environment; or (3) under conditions that pose a material threat of a future release to the environment.</w:t>
      </w:r>
    </w:p>
    <w:p>
      <w:r>
        <w:rPr>
          <w:color w:val="333333"/>
          <w:sz w:val="22"/>
        </w:rPr>
        <w:t>Based on the information gathered during this Phase I ESA, one (1) REC has been identified in connection with the Subject Property:</w:t>
      </w:r>
    </w:p>
    <w:p>
      <w:pPr>
        <w:pStyle w:val="ListBullet"/>
        <w:ind w:left="720"/>
      </w:pPr>
      <w:r>
        <w:rPr>
          <w:b/>
          <w:color w:val="1F4E78"/>
          <w:sz w:val="22"/>
        </w:rPr>
        <w:t>Undocumented Removal of Underground Storage Tanks (USTs) and Potential for Petroleum Impact:</w:t>
      </w:r>
      <w:r>
        <w:rPr>
          <w:color w:val="333333"/>
          <w:sz w:val="22"/>
        </w:rPr>
        <w:t xml:space="preserve"> Historical records (Sanborn Maps 1948 &amp; 1960, City Directories 1928-1965) unequivocally indicate that the Subject Property operated as "Springfield Auto Service" from 1928 to 1965, a period during which two (2) USTs and a hydraulic lift were present. No records pertaining to the removal, closure, or environmental assessment of these USTs or the hydraulic lift were found in either state environmental agency files (SDEQ) or local fire department archives (SFD). While no overt surface indications of a release (e.g., staining, odors) were observed during site reconnaissance, the absence of proper closure documentation for petroleum-containing infrastructure historically present on the Subject Property constitutes a condition indicative of a potential release and, consequently, a material threat of future release, warranting further investigation.</w:t>
      </w:r>
    </w:p>
    <w:p>
      <w:pPr>
        <w:pStyle w:val="Heading3"/>
      </w:pPr>
      <w:r>
        <w:rPr>
          <w:color w:val="2E75B6"/>
          <w:sz w:val="26"/>
        </w:rPr>
        <w:t>7.2 Controlled Recognized Environmental Conditions (CRECs)</w:t>
      </w:r>
    </w:p>
    <w:p>
      <w:r>
        <w:rPr>
          <w:color w:val="333333"/>
          <w:sz w:val="22"/>
        </w:rPr>
        <w:t xml:space="preserve">A </w:t>
      </w:r>
      <w:r>
        <w:rPr>
          <w:b/>
          <w:color w:val="1F4E78"/>
          <w:sz w:val="22"/>
        </w:rPr>
        <w:t>Controlled Recognized Environmental Condition (CREC)</w:t>
      </w:r>
      <w:r>
        <w:rPr>
          <w:color w:val="333333"/>
          <w:sz w:val="22"/>
        </w:rPr>
        <w:t xml:space="preserve"> is defined as a REC resulting from a past release of hazardous substances or petroleum products that has been addressed to the satisfaction of the applicable regulatory authority (e.g., a "no further action" letter) with hazardous substances or petroleum products allowed to remain in place subject to the implementation of activity and use limitations (AULs).</w:t>
      </w:r>
    </w:p>
    <w:p>
      <w:r>
        <w:rPr>
          <w:color w:val="333333"/>
          <w:sz w:val="22"/>
        </w:rPr>
        <w:t>No CRECs were identified on the Subject Property.</w:t>
      </w:r>
    </w:p>
    <w:p>
      <w:pPr>
        <w:pStyle w:val="Heading3"/>
      </w:pPr>
      <w:r>
        <w:rPr>
          <w:color w:val="2E75B6"/>
          <w:sz w:val="26"/>
        </w:rPr>
        <w:t>7.3 Historical Recognized Environmental Conditions (HRECs)</w:t>
      </w:r>
    </w:p>
    <w:p>
      <w:r>
        <w:rPr>
          <w:color w:val="333333"/>
          <w:sz w:val="22"/>
        </w:rPr>
        <w:t xml:space="preserve">A </w:t>
      </w:r>
      <w:r>
        <w:rPr>
          <w:b/>
          <w:color w:val="1F4E78"/>
          <w:sz w:val="22"/>
        </w:rPr>
        <w:t>Historical Recognized Environmental Condition (HREC)</w:t>
      </w:r>
      <w:r>
        <w:rPr>
          <w:color w:val="333333"/>
          <w:sz w:val="22"/>
        </w:rPr>
        <w:t xml:space="preserve"> is defined as a past REC that has been addressed to the satisfaction of the applicable regulatory authority without subjecting the property to AULs.</w:t>
      </w:r>
    </w:p>
    <w:p>
      <w:r>
        <w:rPr>
          <w:color w:val="333333"/>
          <w:sz w:val="22"/>
        </w:rPr>
        <w:t>No HRECs were identified on the Subject Property. While the "Precision Components Inc." operation involved light manufacturing, no evidence was found to suggest releases occurred that required regulatory action or that any past RECs were fully remediated to current standards without AULs.</w:t>
      </w:r>
    </w:p>
    <w:p>
      <w:pPr>
        <w:pStyle w:val="Heading2"/>
      </w:pPr>
      <w:r>
        <w:rPr>
          <w:color w:val="2E75B6"/>
          <w:sz w:val="30"/>
        </w:rPr>
        <w:t>8.0 RECOMMENDATIONS</w:t>
      </w:r>
    </w:p>
    <w:p>
      <w:r>
        <w:rPr>
          <w:color w:val="333333"/>
          <w:sz w:val="22"/>
        </w:rPr>
        <w:t>Given the identification of a Recognized Environmental Condition (REC) concerning the undocumented removal of USTs and a hydraulic lift associated with the former "Springfield Auto Service" operations, Apex Environmental Solutions, Inc. recommends the following:</w:t>
      </w:r>
    </w:p>
    <w:p>
      <w:r>
        <w:rPr>
          <w:color w:val="333333"/>
          <w:sz w:val="22"/>
        </w:rPr>
        <w:t xml:space="preserve">1.  </w:t>
      </w:r>
      <w:r>
        <w:rPr>
          <w:b/>
          <w:color w:val="1F4E78"/>
          <w:sz w:val="22"/>
        </w:rPr>
        <w:t>Phase II Environmental Site Assessment:</w:t>
      </w:r>
      <w:r>
        <w:rPr>
          <w:color w:val="333333"/>
          <w:sz w:val="22"/>
        </w:rPr>
        <w:t xml:space="preserve"> Conduct a Phase II ESA to investigate potential subsurface contamination in the vicinity of the historically depicted USTs and hydraulic lift. This should include:</w:t>
      </w:r>
    </w:p>
    <w:p>
      <w:pPr>
        <w:pStyle w:val="ListBullet"/>
        <w:ind w:left="1080"/>
      </w:pPr>
      <w:r>
        <w:rPr>
          <w:color w:val="333333"/>
          <w:sz w:val="22"/>
        </w:rPr>
        <w:t>Advancement of minimum three (3) soil borings targeting the former UST basin areas and one (1) boring at the former hydraulic lift location.</w:t>
      </w:r>
    </w:p>
    <w:p>
      <w:pPr>
        <w:pStyle w:val="ListBullet"/>
        <w:ind w:left="1080"/>
      </w:pPr>
      <w:r>
        <w:rPr>
          <w:color w:val="333333"/>
          <w:sz w:val="22"/>
        </w:rPr>
        <w:t>Collection of discrete soil samples at varying depths (e.g., 5-foot intervals and at suspected tank bottom depths) from each boring.</w:t>
      </w:r>
    </w:p>
    <w:p>
      <w:pPr>
        <w:pStyle w:val="ListBullet"/>
        <w:ind w:left="1080"/>
      </w:pPr>
      <w:r>
        <w:rPr>
          <w:color w:val="333333"/>
          <w:sz w:val="22"/>
        </w:rPr>
        <w:t>Analysis of selected soil samples for VOCs (specifically BTEX compounds), SVOCs (polycyclic aromatic hydrocarbons - PAHs), and TPH (GRO and DRO) via EPA-approved methodologies.</w:t>
      </w:r>
    </w:p>
    <w:p>
      <w:pPr>
        <w:pStyle w:val="ListBullet"/>
        <w:ind w:left="1080"/>
      </w:pPr>
      <w:r>
        <w:rPr>
          <w:color w:val="333333"/>
          <w:sz w:val="22"/>
        </w:rPr>
        <w:t>Contingent upon soil sample analytical results, and/or observation of groundwater during drilling, the collection and analysis of groundwater samples may be warranted.</w:t>
      </w:r>
    </w:p>
    <w:p>
      <w:r>
        <w:rPr>
          <w:color w:val="333333"/>
          <w:sz w:val="22"/>
        </w:rPr>
        <w:t xml:space="preserve">2.  </w:t>
      </w:r>
      <w:r>
        <w:rPr>
          <w:b/>
          <w:color w:val="1F4E78"/>
          <w:sz w:val="22"/>
        </w:rPr>
        <w:t>Regulatory Notification:</w:t>
      </w:r>
      <w:r>
        <w:rPr>
          <w:color w:val="333333"/>
          <w:sz w:val="22"/>
        </w:rPr>
        <w:t xml:space="preserve"> Depending on the findings of the Phase II ESA, notification to the [State] Department of Environmental Quality (SDEQ) or other relevant regulatory agencies may be required.</w:t>
      </w:r>
    </w:p>
    <w:p>
      <w:pPr>
        <w:pStyle w:val="Heading2"/>
      </w:pPr>
      <w:r>
        <w:rPr>
          <w:color w:val="2E75B6"/>
          <w:sz w:val="30"/>
        </w:rPr>
        <w:t>9.0 LIMITATIONS AND DEVIATIONS</w:t>
      </w:r>
    </w:p>
    <w:p>
      <w:r>
        <w:rPr>
          <w:color w:val="333333"/>
          <w:sz w:val="22"/>
        </w:rPr>
        <w:t>This Phase I ESA was performed in accordance with ASTM E1527-21, as modified by professional judgment and the contract scope. The findings and conclusions of this report are based on a non-intrusive investigation and review of readily available historical and regulatory information within specific timeframes and search radii. No soil, water, or air samples were collected or analyzed during this assessment.</w:t>
      </w:r>
    </w:p>
    <w:p>
      <w:pPr>
        <w:pStyle w:val="ListBullet"/>
        <w:ind w:left="720"/>
      </w:pPr>
      <w:r>
        <w:rPr>
          <w:b/>
          <w:color w:val="1F4E78"/>
          <w:sz w:val="22"/>
        </w:rPr>
        <w:t>Information Reliability:</w:t>
      </w:r>
      <w:r>
        <w:rPr>
          <w:color w:val="333333"/>
          <w:sz w:val="22"/>
        </w:rPr>
        <w:t xml:space="preserve"> AES assumes that information provided by interviewees and in reviewed documents is accurate and complete. AES cannot be responsible for the accuracy or completeness of information provided by others.</w:t>
      </w:r>
    </w:p>
    <w:p>
      <w:pPr>
        <w:pStyle w:val="ListBullet"/>
        <w:ind w:left="720"/>
      </w:pPr>
      <w:r>
        <w:rPr>
          <w:b/>
          <w:color w:val="1F4E78"/>
          <w:sz w:val="22"/>
        </w:rPr>
        <w:t>Completeness of Records:</w:t>
      </w:r>
      <w:r>
        <w:rPr>
          <w:color w:val="333333"/>
          <w:sz w:val="22"/>
        </w:rPr>
        <w:t xml:space="preserve"> The absence of information in public records should not be interpreted as absolute proof that no environmental issues exist. Certain historical practices or unauthorized discharges may not have been documented.</w:t>
      </w:r>
    </w:p>
    <w:p>
      <w:pPr>
        <w:pStyle w:val="ListBullet"/>
        <w:ind w:left="720"/>
      </w:pPr>
      <w:r>
        <w:rPr>
          <w:b/>
          <w:color w:val="1F4E78"/>
          <w:sz w:val="22"/>
        </w:rPr>
        <w:t>Hidden Conditions:</w:t>
      </w:r>
      <w:r>
        <w:rPr>
          <w:color w:val="333333"/>
          <w:sz w:val="22"/>
        </w:rPr>
        <w:t xml:space="preserve"> This assessment cannot identify conditions that are hidden or not visible during the site reconnaissance, or which were not indicated by the review of available documents or interviews.</w:t>
      </w:r>
    </w:p>
    <w:p>
      <w:pPr>
        <w:pStyle w:val="ListBullet"/>
        <w:ind w:left="720"/>
      </w:pPr>
      <w:r>
        <w:rPr>
          <w:b/>
          <w:color w:val="1F4E78"/>
          <w:sz w:val="22"/>
        </w:rPr>
        <w:t>Future Changes:</w:t>
      </w:r>
      <w:r>
        <w:rPr>
          <w:color w:val="333333"/>
          <w:sz w:val="22"/>
        </w:rPr>
        <w:t xml:space="preserve"> Environmental conditions may change over time. This report reflects conditions as of the effective date.</w:t>
      </w:r>
    </w:p>
    <w:p>
      <w:pPr>
        <w:pStyle w:val="ListBullet"/>
        <w:ind w:left="720"/>
      </w:pPr>
      <w:r>
        <w:rPr>
          <w:b/>
          <w:color w:val="1F4E78"/>
          <w:sz w:val="22"/>
        </w:rPr>
        <w:t>No Warranty:</w:t>
      </w:r>
      <w:r>
        <w:rPr>
          <w:color w:val="333333"/>
          <w:sz w:val="22"/>
        </w:rPr>
        <w:t xml:space="preserve"> No warranty or guarantee, express or implied, is made concerning the environmental condition of the Subject Property, other than that this assessment was performed within the bounds of standard professional care.</w:t>
      </w:r>
    </w:p>
    <w:p>
      <w:pPr>
        <w:pStyle w:val="ListBullet"/>
        <w:ind w:left="720"/>
      </w:pPr>
      <w:r>
        <w:rPr>
          <w:b/>
          <w:color w:val="1F4E78"/>
          <w:sz w:val="22"/>
        </w:rPr>
        <w:t>Deviations:</w:t>
      </w:r>
      <w:r>
        <w:rPr>
          <w:color w:val="333333"/>
          <w:sz w:val="22"/>
        </w:rPr>
        <w:t xml:space="preserve"> No significant deviations from the ASTM E1527-21 standard practice were encountered during the performance of this Phase I ESA.</w:t>
      </w:r>
    </w:p>
    <w:p>
      <w:pPr>
        <w:pStyle w:val="Heading2"/>
      </w:pPr>
      <w:r>
        <w:rPr>
          <w:color w:val="2E75B6"/>
          <w:sz w:val="30"/>
        </w:rPr>
        <w:t>10.0 REFERENCES</w:t>
      </w:r>
    </w:p>
    <w:p>
      <w:pPr>
        <w:pStyle w:val="ListBullet"/>
        <w:ind w:left="720"/>
      </w:pPr>
      <w:r>
        <w:rPr>
          <w:color w:val="333333"/>
          <w:sz w:val="22"/>
        </w:rPr>
        <w:t>ASTM E1527-21 Standard Practice for Environmental Site Assessments: Phase I Environmental Site Assessment Process.</w:t>
      </w:r>
    </w:p>
    <w:p>
      <w:pPr>
        <w:pStyle w:val="ListBullet"/>
        <w:ind w:left="720"/>
      </w:pPr>
      <w:r>
        <w:rPr>
          <w:color w:val="333333"/>
          <w:sz w:val="22"/>
        </w:rPr>
        <w:t>Environmental Data Resources, Inc. (EDR) Radius Map with GeoCheck Report, Order No. 7890123.4, October 20, 2023.</w:t>
      </w:r>
    </w:p>
    <w:p>
      <w:pPr>
        <w:pStyle w:val="ListBullet"/>
        <w:ind w:left="720"/>
      </w:pPr>
      <w:r>
        <w:rPr>
          <w:color w:val="333333"/>
          <w:sz w:val="22"/>
        </w:rPr>
        <w:t>Sanborn Fire Insurance Maps: Springfield, [State] (1910, 1925, 1948, 1960).</w:t>
      </w:r>
    </w:p>
    <w:p>
      <w:pPr>
        <w:pStyle w:val="ListBullet"/>
        <w:ind w:left="720"/>
      </w:pPr>
      <w:r>
        <w:rPr>
          <w:color w:val="333333"/>
          <w:sz w:val="22"/>
        </w:rPr>
        <w:t>Historical Aerial Photographs: U.S. Geological Survey &amp; Google Earth Pro (1950, 1965, 1978, 1990, 2005, 2023).</w:t>
      </w:r>
    </w:p>
    <w:p>
      <w:pPr>
        <w:pStyle w:val="ListBullet"/>
        <w:ind w:left="720"/>
      </w:pPr>
      <w:r>
        <w:rPr>
          <w:color w:val="333333"/>
          <w:sz w:val="22"/>
        </w:rPr>
        <w:t>Springfield City Directories (various years).</w:t>
      </w:r>
    </w:p>
    <w:p>
      <w:pPr>
        <w:pStyle w:val="ListBullet"/>
        <w:ind w:left="720"/>
      </w:pPr>
      <w:r>
        <w:rPr>
          <w:color w:val="333333"/>
          <w:sz w:val="22"/>
        </w:rPr>
        <w:t>[State] Department of Environmental Quality (SDEQ) Online Database.</w:t>
      </w:r>
    </w:p>
    <w:p>
      <w:pPr>
        <w:pStyle w:val="ListBullet"/>
        <w:ind w:left="720"/>
      </w:pPr>
      <w:r>
        <w:rPr>
          <w:color w:val="333333"/>
          <w:sz w:val="22"/>
        </w:rPr>
        <w:t>Springfield Fire Department (SFD) Records Search.</w:t>
      </w:r>
    </w:p>
    <w:p>
      <w:pPr>
        <w:pStyle w:val="ListBullet"/>
        <w:ind w:left="720"/>
      </w:pPr>
      <w:r>
        <w:rPr>
          <w:color w:val="333333"/>
          <w:sz w:val="22"/>
        </w:rPr>
        <w:t>Interviews: Mr. Robert Sterling (Springfield Holdings Corp.), Lt. Maria Rodriguez (Springfield Fire Department).</w:t>
      </w:r>
    </w:p>
    <w:p>
      <w:pPr>
        <w:pStyle w:val="Heading2"/>
      </w:pPr>
      <w:r>
        <w:rPr>
          <w:color w:val="2E75B6"/>
          <w:sz w:val="30"/>
        </w:rPr>
        <w:t>11.0 SIGNATURES</w:t>
      </w:r>
    </w:p>
    <w:p>
      <w:r>
        <w:rPr>
          <w:b/>
          <w:color w:val="1F4E78"/>
          <w:sz w:val="22"/>
        </w:rPr>
        <w:t>Apex Environmental Solutions, Inc.</w:t>
      </w:r>
    </w:p>
    <w:p>
      <w:r>
        <w:rPr>
          <w:color w:val="333333"/>
          <w:sz w:val="22"/>
        </w:rPr>
        <w:t>______________________________ Dr. Eleanor Vance, Ph.D. Senior Environmental Consultant License #12345ENV Date: October 30, 2023</w:t>
      </w:r>
    </w:p>
    <w:p>
      <w:r>
        <w:rPr>
          <w:color w:val="333333"/>
          <w:sz w:val="22"/>
        </w:rPr>
        <w:t>I declare that I have reviewed the findings and conclusions of this Phase I ESA and concur with its contents.</w:t>
      </w:r>
    </w:p>
    <w:p>
      <w:r>
        <w:rPr>
          <w:color w:val="333333"/>
          <w:sz w:val="22"/>
        </w:rPr>
        <w:t>______________________________ Mr. David Chen, MBA Principal, Springfield Development Group, LLC Date: October 30, 2023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