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REGULATORY AGREEMENT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REGULATORY AGREEMENT</w:t>
      </w:r>
    </w:p>
    <w:p>
      <w:r>
        <w:rPr>
          <w:color w:val="333333"/>
          <w:sz w:val="22"/>
        </w:rPr>
        <w:t>THIS REGULATORY AGREEMENT (this "Agreement") is made and entered into as of this 15th day of October, 2023 (the "Effective Date"), by and among:</w:t>
      </w:r>
    </w:p>
    <w:p>
      <w:r>
        <w:rPr>
          <w:color w:val="333333"/>
          <w:sz w:val="22"/>
        </w:rPr>
        <w:t xml:space="preserve">1.  </w:t>
      </w:r>
      <w:r>
        <w:rPr>
          <w:b/>
          <w:color w:val="1F4E78"/>
          <w:sz w:val="22"/>
        </w:rPr>
        <w:t>SO-GOOD DEVELOPMENT, LLC</w:t>
      </w:r>
      <w:r>
        <w:rPr>
          <w:color w:val="333333"/>
          <w:sz w:val="22"/>
        </w:rPr>
        <w:t xml:space="preserve">, a Delaware limited liability company, with its principal place of business at 123 Main Street, Springfield, Capital County, State of Generica (hereinafter, "Developer"); 2.  </w:t>
      </w:r>
      <w:r>
        <w:rPr>
          <w:b/>
          <w:color w:val="1F4E78"/>
          <w:sz w:val="22"/>
        </w:rPr>
        <w:t>CAPITAL EQUITY FUNDING, LP</w:t>
      </w:r>
      <w:r>
        <w:rPr>
          <w:color w:val="333333"/>
          <w:sz w:val="22"/>
        </w:rPr>
        <w:t xml:space="preserve">, a Generica limited partnership, with its principal place of business at 456 Financial Avenue, Generica City, State of Generica (hereinafter, "Lender"); and 3.  </w:t>
      </w:r>
      <w:r>
        <w:rPr>
          <w:b/>
          <w:color w:val="1F4E78"/>
          <w:sz w:val="22"/>
        </w:rPr>
        <w:t>SPRINGFIELD HOUSING AND COMMUNITY DEVELOPMENT AUTHORITY</w:t>
      </w:r>
      <w:r>
        <w:rPr>
          <w:color w:val="333333"/>
          <w:sz w:val="22"/>
        </w:rPr>
        <w:t>, a public body corporate and politic, established under the laws of the State of Generica (hereinafter, "Regulatory Authority").</w:t>
      </w:r>
    </w:p>
    <w:p>
      <w:r>
        <w:rPr>
          <w:b/>
          <w:color w:val="1F4E78"/>
          <w:sz w:val="22"/>
        </w:rPr>
        <w:t>WHEREAS</w:t>
      </w:r>
      <w:r>
        <w:rPr>
          <w:color w:val="333333"/>
          <w:sz w:val="22"/>
        </w:rPr>
        <w:t xml:space="preserve">, Developer is the fee simple owner of that certain real property located at 789 Elm Street, Springfield, Capital County, State of Generica, more particularly described in </w:t>
      </w:r>
      <w:r>
        <w:rPr>
          <w:b/>
          <w:color w:val="1F4E78"/>
          <w:sz w:val="22"/>
        </w:rPr>
        <w:t>Exhibit A</w:t>
      </w:r>
      <w:r>
        <w:rPr>
          <w:color w:val="333333"/>
          <w:sz w:val="22"/>
        </w:rPr>
        <w:t xml:space="preserve"> attached hereto and incorporated herein by reference (Assessor's Parcel Number: 12-345-678-90) (the "Property");</w:t>
      </w:r>
    </w:p>
    <w:p>
      <w:r>
        <w:rPr>
          <w:b/>
          <w:color w:val="1F4E78"/>
          <w:sz w:val="22"/>
        </w:rPr>
        <w:t>WHEREAS</w:t>
      </w:r>
      <w:r>
        <w:rPr>
          <w:color w:val="333333"/>
          <w:sz w:val="22"/>
        </w:rPr>
        <w:t>, Developer intends to construct, operate, and maintain on the Property a multi-family residential development comprising two hundred fifty (250) units, to be known as "So-Good Apartments" (the "Project"), with an estimated total development cost of Sixty-Five Million Dollars ($65,000,000.00);</w:t>
      </w:r>
    </w:p>
    <w:p>
      <w:r>
        <w:rPr>
          <w:b/>
          <w:color w:val="1F4E78"/>
          <w:sz w:val="22"/>
        </w:rPr>
        <w:t>WHEREAS</w:t>
      </w:r>
      <w:r>
        <w:rPr>
          <w:color w:val="333333"/>
          <w:sz w:val="22"/>
        </w:rPr>
        <w:t>, Lender has committed to provide senior construction financing to Developer for the Project in an aggregate principal amount not to exceed Forty-Five Million Dollars ($45,000,000.00) (the "Construction Loan"), evidenced by a Promissory Note and secured by a Construction Deed of Trust, Assignment of Rents, and Fixture Filing, and other loan documents (collectively, the "Loan Documents");</w:t>
      </w:r>
    </w:p>
    <w:p>
      <w:r>
        <w:rPr>
          <w:b/>
          <w:color w:val="1F4E78"/>
          <w:sz w:val="22"/>
        </w:rPr>
        <w:t>WHEREAS</w:t>
      </w:r>
      <w:r>
        <w:rPr>
          <w:color w:val="333333"/>
          <w:sz w:val="22"/>
        </w:rPr>
        <w:t>, the Regulatory Authority has provided, or will provide, certain public benefits, including but not limited to, a ten (10) year partial property tax abatement and a ten (10) year allocation of Multifamily Housing Revenue Bonds, the proceeds of which will be used to partially finance the Project's development, conditioned upon Developer's compliance with certain affordability, operational, and maintenance standards for the Project;</w:t>
      </w:r>
    </w:p>
    <w:p>
      <w:r>
        <w:rPr>
          <w:b/>
          <w:color w:val="1F4E78"/>
          <w:sz w:val="22"/>
        </w:rPr>
        <w:t>WHEREAS</w:t>
      </w:r>
      <w:r>
        <w:rPr>
          <w:color w:val="333333"/>
          <w:sz w:val="22"/>
        </w:rPr>
        <w:t>, this Agreement is required by the Regulatory Authority as a condition precedent to the issuance of the aforementioned public benefits and to ensure the Project is developed and operated in a manner consistent with the public interest and the Regulatory Authority's housing objectives;</w:t>
      </w:r>
    </w:p>
    <w:p>
      <w:r>
        <w:rPr>
          <w:b/>
          <w:color w:val="1F4E78"/>
          <w:sz w:val="22"/>
        </w:rPr>
        <w:t>NOW, THEREFORE</w:t>
      </w:r>
      <w:r>
        <w:rPr>
          <w:color w:val="333333"/>
          <w:sz w:val="22"/>
        </w:rPr>
        <w:t>, in consideration of the foregoing recitals, the mutual covenants, conditions, and agreements hereinafter set forth, and other good and valuable consideration, the receipt and sufficiency of which are hereby acknowledged, Developer, Lender, and Regulatory Authority hereby covenant and agree as follows:</w:t>
      </w:r>
    </w:p>
    <w:p>
      <w:pPr>
        <w:jc w:val="center"/>
      </w:pPr>
      <w:r>
        <w:rPr>
          <w:color w:val="CCCCCC"/>
          <w:sz w:val="12"/>
        </w:rPr>
        <w:t>────────────────────────────────────────────────────────────────────────────────</w:t>
      </w:r>
    </w:p>
    <w:p>
      <w:pPr>
        <w:pStyle w:val="Heading2"/>
      </w:pPr>
      <w:r>
        <w:rPr>
          <w:color w:val="2E75B6"/>
          <w:sz w:val="30"/>
        </w:rPr>
        <w:t>ARTICLE I: DEFINITIONS</w:t>
      </w:r>
    </w:p>
    <w:p>
      <w:r>
        <w:rPr>
          <w:color w:val="333333"/>
          <w:sz w:val="22"/>
        </w:rPr>
        <w:t xml:space="preserve">1.1. </w:t>
      </w:r>
      <w:r>
        <w:rPr>
          <w:b/>
          <w:color w:val="1F4E78"/>
          <w:sz w:val="22"/>
        </w:rPr>
        <w:t>"AMI"</w:t>
      </w:r>
      <w:r>
        <w:rPr>
          <w:color w:val="333333"/>
          <w:sz w:val="22"/>
        </w:rPr>
        <w:t xml:space="preserve"> shall mean Area Median Income, as determined annually by the U.S. Department of Housing and Urban Development (HUD) for Capital County, State of Generica. 1.2. </w:t>
      </w:r>
      <w:r>
        <w:rPr>
          <w:b/>
          <w:color w:val="1F4E78"/>
          <w:sz w:val="22"/>
        </w:rPr>
        <w:t>"Certificate of Occupancy"</w:t>
      </w:r>
      <w:r>
        <w:rPr>
          <w:color w:val="333333"/>
          <w:sz w:val="22"/>
        </w:rPr>
        <w:t xml:space="preserve"> shall mean a temporary or final certificate or permit, issued by the appropriate governmental authority, permitting occupancy of all or a portion of the Project. 1.3. </w:t>
      </w:r>
      <w:r>
        <w:rPr>
          <w:b/>
          <w:color w:val="1F4E78"/>
          <w:sz w:val="22"/>
        </w:rPr>
        <w:t>"Commencement Date"</w:t>
      </w:r>
      <w:r>
        <w:rPr>
          <w:color w:val="333333"/>
          <w:sz w:val="22"/>
        </w:rPr>
        <w:t xml:space="preserve"> shall mean November 1, 2023, the date scheduled for the physical commencement of construction activities on the Project. 1.4. </w:t>
      </w:r>
      <w:r>
        <w:rPr>
          <w:b/>
          <w:color w:val="1F4E78"/>
          <w:sz w:val="22"/>
        </w:rPr>
        <w:t>"Completion Date"</w:t>
      </w:r>
      <w:r>
        <w:rPr>
          <w:color w:val="333333"/>
          <w:sz w:val="22"/>
        </w:rPr>
        <w:t xml:space="preserve"> shall mean October 31, 2025, the date by which Substantial Completion of the Project is contractually required to occur. 1.5. </w:t>
      </w:r>
      <w:r>
        <w:rPr>
          <w:b/>
          <w:color w:val="1F4E78"/>
          <w:sz w:val="22"/>
        </w:rPr>
        <w:t>"DSCR"</w:t>
      </w:r>
      <w:r>
        <w:rPr>
          <w:color w:val="333333"/>
          <w:sz w:val="22"/>
        </w:rPr>
        <w:t xml:space="preserve"> shall mean Debt Service Coverage Ratio, calculated as Net Operating Income divided by annual debt service payments. 1.6. </w:t>
      </w:r>
      <w:r>
        <w:rPr>
          <w:b/>
          <w:color w:val="1F4E78"/>
          <w:sz w:val="22"/>
        </w:rPr>
        <w:t>"Event of Default"</w:t>
      </w:r>
      <w:r>
        <w:rPr>
          <w:color w:val="333333"/>
          <w:sz w:val="22"/>
        </w:rPr>
        <w:t xml:space="preserve"> shall have the meaning set forth in Section 4.1 hereof. 1.7. </w:t>
      </w:r>
      <w:r>
        <w:rPr>
          <w:b/>
          <w:color w:val="1F4E78"/>
          <w:sz w:val="22"/>
        </w:rPr>
        <w:t>"Net Operating Income"</w:t>
      </w:r>
      <w:r>
        <w:rPr>
          <w:color w:val="333333"/>
          <w:sz w:val="22"/>
        </w:rPr>
        <w:t xml:space="preserve"> shall mean the gross income generated by the Project, less all operating expenses, excluding debt service, depreciation, and amortization. 1.8. </w:t>
      </w:r>
      <w:r>
        <w:rPr>
          <w:b/>
          <w:color w:val="1F4E78"/>
          <w:sz w:val="22"/>
        </w:rPr>
        <w:t>"Operating Reserve"</w:t>
      </w:r>
      <w:r>
        <w:rPr>
          <w:color w:val="333333"/>
          <w:sz w:val="22"/>
        </w:rPr>
        <w:t xml:space="preserve"> shall mean funds segregated and maintained by Developer for the payment of Project operating expenses. 1.9. </w:t>
      </w:r>
      <w:r>
        <w:rPr>
          <w:b/>
          <w:color w:val="1F4E78"/>
          <w:sz w:val="22"/>
        </w:rPr>
        <w:t>"Permitted Encumbrances"</w:t>
      </w:r>
      <w:r>
        <w:rPr>
          <w:color w:val="333333"/>
          <w:sz w:val="22"/>
        </w:rPr>
        <w:t xml:space="preserve"> shall mean the lien of the Construction Loan, easements, covenants, conditions, and restrictions of record, and other minor title exceptions acceptable to Lender and Regulatory Authority. 1.10. </w:t>
      </w:r>
      <w:r>
        <w:rPr>
          <w:b/>
          <w:color w:val="1F4E78"/>
          <w:sz w:val="22"/>
        </w:rPr>
        <w:t>"Project Plan"</w:t>
      </w:r>
      <w:r>
        <w:rPr>
          <w:color w:val="333333"/>
          <w:sz w:val="22"/>
        </w:rPr>
        <w:t xml:space="preserve"> shall mean the final architectural and engineering plans and specifications for the Project, as approved by the Regulatory Authority and Lender. 1.11. </w:t>
      </w:r>
      <w:r>
        <w:rPr>
          <w:b/>
          <w:color w:val="1F4E78"/>
          <w:sz w:val="22"/>
        </w:rPr>
        <w:t>"Replacement Reserve"</w:t>
      </w:r>
      <w:r>
        <w:rPr>
          <w:color w:val="333333"/>
          <w:sz w:val="22"/>
        </w:rPr>
        <w:t xml:space="preserve"> shall mean funds segregated and maintained by Developer for the repair and replacement of major capital components of the Project. 1.12. </w:t>
      </w:r>
      <w:r>
        <w:rPr>
          <w:b/>
          <w:color w:val="1F4E78"/>
          <w:sz w:val="22"/>
        </w:rPr>
        <w:t>"Substantial Completion"</w:t>
      </w:r>
      <w:r>
        <w:rPr>
          <w:color w:val="333333"/>
          <w:sz w:val="22"/>
        </w:rPr>
        <w:t xml:space="preserve"> shall mean the stage in the progress of the work when the Project, or designated portion thereof, is sufficiently complete in accordance with the Project Plan so that the Project can be occupied and utilized for its intended use, and a temporary or final Certificate of Occupancy has been issued for at least ninety-five percent (95%) of the units, notwithstanding minor punch list items.</w:t>
      </w:r>
    </w:p>
    <w:p>
      <w:pPr>
        <w:jc w:val="center"/>
      </w:pPr>
      <w:r>
        <w:rPr>
          <w:color w:val="CCCCCC"/>
          <w:sz w:val="12"/>
        </w:rPr>
        <w:t>────────────────────────────────────────────────────────────────────────────────</w:t>
      </w:r>
    </w:p>
    <w:p>
      <w:pPr>
        <w:pStyle w:val="Heading2"/>
      </w:pPr>
      <w:r>
        <w:rPr>
          <w:color w:val="2E75B6"/>
          <w:sz w:val="30"/>
        </w:rPr>
        <w:t>ARTICLE II: PROJECT DESCRIPTION AND PURPOSE</w:t>
      </w:r>
    </w:p>
    <w:p>
      <w:r>
        <w:rPr>
          <w:color w:val="333333"/>
          <w:sz w:val="22"/>
        </w:rPr>
        <w:t xml:space="preserve">2.1. </w:t>
      </w:r>
      <w:r>
        <w:rPr>
          <w:b/>
          <w:color w:val="1F4E78"/>
          <w:sz w:val="22"/>
        </w:rPr>
        <w:t>Project Description.</w:t>
      </w:r>
      <w:r>
        <w:rPr>
          <w:color w:val="333333"/>
          <w:sz w:val="22"/>
        </w:rPr>
        <w:t xml:space="preserve"> The Project shall consist of two (2) five-story buildings comprising a total of two hundred fifty (250) residential rental units, configured as:</w:t>
      </w:r>
    </w:p>
    <w:p>
      <w:pPr>
        <w:pStyle w:val="ListBullet"/>
        <w:ind w:left="1080"/>
      </w:pPr>
      <w:r>
        <w:rPr>
          <w:color w:val="333333"/>
          <w:sz w:val="22"/>
        </w:rPr>
        <w:t>One hundred (100) one-bedroom units, averaging 750 square feet.</w:t>
      </w:r>
    </w:p>
    <w:p>
      <w:pPr>
        <w:pStyle w:val="ListBullet"/>
        <w:ind w:left="1080"/>
      </w:pPr>
      <w:r>
        <w:rPr>
          <w:color w:val="333333"/>
          <w:sz w:val="22"/>
        </w:rPr>
        <w:t>One hundred (100) two-bedroom units, averaging 950 square feet.</w:t>
      </w:r>
    </w:p>
    <w:p>
      <w:pPr>
        <w:pStyle w:val="ListBullet"/>
        <w:ind w:left="1080"/>
      </w:pPr>
      <w:r>
        <w:rPr>
          <w:color w:val="333333"/>
          <w:sz w:val="22"/>
        </w:rPr>
        <w:t>Fifty (50) three-bedroom units, averaging 1,100 square feet.</w:t>
      </w:r>
    </w:p>
    <w:p>
      <w:r>
        <w:rPr>
          <w:color w:val="333333"/>
          <w:sz w:val="22"/>
        </w:rPr>
        <w:t>The Project shall also include approximately 5,000 square feet of common amenity space, including a fitness center, community lounge, and business center, along with structured parking for 300 vehicles.</w:t>
      </w:r>
    </w:p>
    <w:p>
      <w:r>
        <w:rPr>
          <w:color w:val="333333"/>
          <w:sz w:val="22"/>
        </w:rPr>
        <w:t xml:space="preserve">2.2. </w:t>
      </w:r>
      <w:r>
        <w:rPr>
          <w:b/>
          <w:color w:val="1F4E78"/>
          <w:sz w:val="22"/>
        </w:rPr>
        <w:t>Purpose of Agreement.</w:t>
      </w:r>
      <w:r>
        <w:rPr>
          <w:color w:val="333333"/>
          <w:sz w:val="22"/>
        </w:rPr>
        <w:t xml:space="preserve"> The primary purpose of this Agreement is to ensure that the Project is developed, managed, and operated in compliance with the terms and conditions herein, particularly with respect to: (a) the timely and quality construction of the Project; (b) the provision of affordable housing units for a specified term; (c) the sound financial management and maintenance of the Project; and (d) the protection of the public benefits provided by the Regulatory Authority.</w:t>
      </w:r>
    </w:p>
    <w:p>
      <w:pPr>
        <w:jc w:val="center"/>
      </w:pPr>
      <w:r>
        <w:rPr>
          <w:color w:val="CCCCCC"/>
          <w:sz w:val="12"/>
        </w:rPr>
        <w:t>────────────────────────────────────────────────────────────────────────────────</w:t>
      </w:r>
    </w:p>
    <w:p>
      <w:pPr>
        <w:pStyle w:val="Heading2"/>
      </w:pPr>
      <w:r>
        <w:rPr>
          <w:color w:val="2E75B6"/>
          <w:sz w:val="30"/>
        </w:rPr>
        <w:t>ARTICLE III: DEVELOPER COVENANTS</w:t>
      </w:r>
    </w:p>
    <w:p>
      <w:r>
        <w:rPr>
          <w:color w:val="333333"/>
          <w:sz w:val="22"/>
        </w:rPr>
        <w:t>Developer hereby covenants and agrees with Lender and Regulatory Authority as follows:</w:t>
      </w:r>
    </w:p>
    <w:p>
      <w:r>
        <w:rPr>
          <w:color w:val="333333"/>
          <w:sz w:val="22"/>
        </w:rPr>
        <w:t xml:space="preserve">3.1. </w:t>
      </w:r>
      <w:r>
        <w:rPr>
          <w:b/>
          <w:color w:val="1F4E78"/>
          <w:sz w:val="22"/>
        </w:rPr>
        <w:t>Construction and Completion.</w:t>
      </w:r>
      <w:r>
        <w:rPr>
          <w:color w:val="333333"/>
          <w:sz w:val="22"/>
        </w:rPr>
        <w:t xml:space="preserve"> a.  </w:t>
      </w:r>
      <w:r>
        <w:rPr>
          <w:b/>
          <w:color w:val="1F4E78"/>
          <w:sz w:val="22"/>
        </w:rPr>
        <w:t>Timely Completion:</w:t>
      </w:r>
      <w:r>
        <w:rPr>
          <w:color w:val="333333"/>
          <w:sz w:val="22"/>
        </w:rPr>
        <w:t xml:space="preserve"> Developer shall diligently prosecute the construction of the Project in accordance with the Project Plan and all applicable laws, codes, and ordinances, to achieve Substantial Completion by the Completion Date. b.  </w:t>
      </w:r>
      <w:r>
        <w:rPr>
          <w:b/>
          <w:color w:val="1F4E78"/>
          <w:sz w:val="22"/>
        </w:rPr>
        <w:t>Quality:</w:t>
      </w:r>
      <w:r>
        <w:rPr>
          <w:color w:val="333333"/>
          <w:sz w:val="22"/>
        </w:rPr>
        <w:t xml:space="preserve"> All construction shall be performed in a good and workmanlike manner, utilizing new materials of good quality, free from defects, and in accordance with industry standards. c.  </w:t>
      </w:r>
      <w:r>
        <w:rPr>
          <w:b/>
          <w:color w:val="1F4E78"/>
          <w:sz w:val="22"/>
        </w:rPr>
        <w:t>Permits and Approvals:</w:t>
      </w:r>
      <w:r>
        <w:rPr>
          <w:color w:val="333333"/>
          <w:sz w:val="22"/>
        </w:rPr>
        <w:t xml:space="preserve"> Developer shall obtain and maintain all necessary governmental permits, licenses, and approvals for the construction and operation of the Project, including without limitation, all environmental approvals and the final Certificate of Occupancy for all units. d.  </w:t>
      </w:r>
      <w:r>
        <w:rPr>
          <w:b/>
          <w:color w:val="1F4E78"/>
          <w:sz w:val="22"/>
        </w:rPr>
        <w:t>Lien-Free Completion:</w:t>
      </w:r>
      <w:r>
        <w:rPr>
          <w:color w:val="333333"/>
          <w:sz w:val="22"/>
        </w:rPr>
        <w:t xml:space="preserve"> Developer shall cause the Project to be completed free and clear of all mechanics' and materialmen's liens, except for those specifically approved by Lender in connection with the Construction Loan disbursement procedures.</w:t>
      </w:r>
    </w:p>
    <w:p>
      <w:r>
        <w:rPr>
          <w:color w:val="333333"/>
          <w:sz w:val="22"/>
        </w:rPr>
        <w:t xml:space="preserve">3.2. </w:t>
      </w:r>
      <w:r>
        <w:rPr>
          <w:b/>
          <w:color w:val="1F4E78"/>
          <w:sz w:val="22"/>
        </w:rPr>
        <w:t>Operations and Maintenance.</w:t>
      </w:r>
      <w:r>
        <w:rPr>
          <w:color w:val="333333"/>
          <w:sz w:val="22"/>
        </w:rPr>
        <w:t xml:space="preserve"> a.  </w:t>
      </w:r>
      <w:r>
        <w:rPr>
          <w:b/>
          <w:color w:val="1F4E78"/>
          <w:sz w:val="22"/>
        </w:rPr>
        <w:t>Property Management:</w:t>
      </w:r>
      <w:r>
        <w:rPr>
          <w:color w:val="333333"/>
          <w:sz w:val="22"/>
        </w:rPr>
        <w:t xml:space="preserve"> Developer shall at all times engage a qualified property management firm, approved by the Regulatory Authority (which approval shall not be unreasonably withheld, conditioned, or delayed), to manage the Project. b.  </w:t>
      </w:r>
      <w:r>
        <w:rPr>
          <w:b/>
          <w:color w:val="1F4E78"/>
          <w:sz w:val="22"/>
        </w:rPr>
        <w:t>Standard of Maintenance:</w:t>
      </w:r>
      <w:r>
        <w:rPr>
          <w:color w:val="333333"/>
          <w:sz w:val="22"/>
        </w:rPr>
        <w:t xml:space="preserve"> Developer shall maintain the Project, including all buildings, units, common areas, and appurtenances, in a safe, clean, and sanitary condition, in good repair, and in compliance with all applicable health, safety, housing, and building codes. c.  </w:t>
      </w:r>
      <w:r>
        <w:rPr>
          <w:b/>
          <w:color w:val="1F4E78"/>
          <w:sz w:val="22"/>
        </w:rPr>
        <w:t>Non-Discrimination:</w:t>
      </w:r>
      <w:r>
        <w:rPr>
          <w:color w:val="333333"/>
          <w:sz w:val="22"/>
        </w:rPr>
        <w:t xml:space="preserve"> Developer shall operate the Project in compliance with all federal, state, and local fair housing and non-discrimination laws.</w:t>
      </w:r>
    </w:p>
    <w:p>
      <w:r>
        <w:rPr>
          <w:color w:val="333333"/>
          <w:sz w:val="22"/>
        </w:rPr>
        <w:t xml:space="preserve">3.3. </w:t>
      </w:r>
      <w:r>
        <w:rPr>
          <w:b/>
          <w:color w:val="1F4E78"/>
          <w:sz w:val="22"/>
        </w:rPr>
        <w:t>Financial Covenants.</w:t>
      </w:r>
      <w:r>
        <w:rPr>
          <w:color w:val="333333"/>
          <w:sz w:val="22"/>
        </w:rPr>
        <w:t xml:space="preserve"> a.  </w:t>
      </w:r>
      <w:r>
        <w:rPr>
          <w:b/>
          <w:color w:val="1F4E78"/>
          <w:sz w:val="22"/>
        </w:rPr>
        <w:t>Minimum DSCR:</w:t>
      </w:r>
      <w:r>
        <w:rPr>
          <w:color w:val="333333"/>
          <w:sz w:val="22"/>
        </w:rPr>
        <w:t xml:space="preserve"> From and after the issuance of the final Certificate of Occupancy for all units, Developer shall maintain a Project-level DSCR of not less than 1.20x on an annual basis. b.  </w:t>
      </w:r>
      <w:r>
        <w:rPr>
          <w:b/>
          <w:color w:val="1F4E78"/>
          <w:sz w:val="22"/>
        </w:rPr>
        <w:t>Replacement Reserve:</w:t>
      </w:r>
      <w:r>
        <w:rPr>
          <w:color w:val="333333"/>
          <w:sz w:val="22"/>
        </w:rPr>
        <w:t xml:space="preserve"> Developer shall establish and maintain a Replacement Reserve account, funded monthly, commencing upon the issuance of the first Certificate of Occupancy, at a rate of not less than Two Hundred Fifty Dollars ($250.00) per unit per annum, adjusted annually for inflation. Funds from the Replacement Reserve may only be disbursed for major capital repairs and replacements with the prior written consent of Lender and Regulatory Authority. c.  </w:t>
      </w:r>
      <w:r>
        <w:rPr>
          <w:b/>
          <w:color w:val="1F4E78"/>
          <w:sz w:val="22"/>
        </w:rPr>
        <w:t>Operating Reserve:</w:t>
      </w:r>
      <w:r>
        <w:rPr>
          <w:color w:val="333333"/>
          <w:sz w:val="22"/>
        </w:rPr>
        <w:t xml:space="preserve"> Developer shall maintain an Operating Reserve account with a balance equivalent to not less than three (3) months of projected operating expenses, to be funded from initial Project capitalization and replenished from Project cash flow. d.  </w:t>
      </w:r>
      <w:r>
        <w:rPr>
          <w:b/>
          <w:color w:val="1F4E78"/>
          <w:sz w:val="22"/>
        </w:rPr>
        <w:t>Distributions:</w:t>
      </w:r>
      <w:r>
        <w:rPr>
          <w:color w:val="333333"/>
          <w:sz w:val="22"/>
        </w:rPr>
        <w:t xml:space="preserve"> Developer shall not make any distributions to its members or partners if an Event of Default exists, or if such distribution would cause the DSCR to fall below 1.20x or deplete the required Replacement or Operating Reserves. e.  </w:t>
      </w:r>
      <w:r>
        <w:rPr>
          <w:b/>
          <w:color w:val="1F4E78"/>
          <w:sz w:val="22"/>
        </w:rPr>
        <w:t>Financial Reporting:</w:t>
      </w:r>
      <w:r>
        <w:rPr>
          <w:color w:val="333333"/>
          <w:sz w:val="22"/>
        </w:rPr>
        <w:t xml:space="preserve"> Developer shall provide to Lender and Regulatory Authority, within ninety (90) days following the end of each fiscal year, audited financial statements for the Project, prepared in accordance with Generally Accepted Accounting Principles (GAAP), along with a certification of compliance with all covenants contained herein. Quarterly unaudited financial statements shall be provided within forty-five (45) days of each quarter-end.</w:t>
      </w:r>
    </w:p>
    <w:p>
      <w:r>
        <w:rPr>
          <w:color w:val="333333"/>
          <w:sz w:val="22"/>
        </w:rPr>
        <w:t xml:space="preserve">3.4. </w:t>
      </w:r>
      <w:r>
        <w:rPr>
          <w:b/>
          <w:color w:val="1F4E78"/>
          <w:sz w:val="22"/>
        </w:rPr>
        <w:t>Affordability Covenants.</w:t>
      </w:r>
      <w:r>
        <w:rPr>
          <w:color w:val="333333"/>
          <w:sz w:val="22"/>
        </w:rPr>
        <w:t xml:space="preserve"> a.  </w:t>
      </w:r>
      <w:r>
        <w:rPr>
          <w:b/>
          <w:color w:val="1F4E78"/>
          <w:sz w:val="22"/>
        </w:rPr>
        <w:t>Set-Aside Requirement:</w:t>
      </w:r>
      <w:r>
        <w:rPr>
          <w:color w:val="333333"/>
          <w:sz w:val="22"/>
        </w:rPr>
        <w:t xml:space="preserve"> For a period commencing on the Effective Date and continuing for thirty (30) years thereafter (the "Affordability Period"), Developer shall restrict twenty percent (20%) of the Project's total residential units (i.e., fifty (50) units) for occupancy by households whose income does not exceed sixty percent (60%) of the AMI, adjusted for family size. b.  </w:t>
      </w:r>
      <w:r>
        <w:rPr>
          <w:b/>
          <w:color w:val="1F4E78"/>
          <w:sz w:val="22"/>
        </w:rPr>
        <w:t>Rent Restrictions:</w:t>
      </w:r>
      <w:r>
        <w:rPr>
          <w:color w:val="333333"/>
          <w:sz w:val="22"/>
        </w:rPr>
        <w:t xml:space="preserve"> During the Affordability Period, the gross rent (inclusive of tenant-paid utilities) for the restricted units shall not exceed thirty percent (30%) of sixty percent (60%) of the AMI, adjusted for the number of bedrooms in each unit as annually published by the Regulatory Authority. c.  </w:t>
      </w:r>
      <w:r>
        <w:rPr>
          <w:b/>
          <w:color w:val="1F4E78"/>
          <w:sz w:val="22"/>
        </w:rPr>
        <w:t>Unit Mix:</w:t>
      </w:r>
      <w:r>
        <w:rPr>
          <w:color w:val="333333"/>
          <w:sz w:val="22"/>
        </w:rPr>
        <w:t xml:space="preserve"> The fifty (50) restricted units shall be proportionally distributed across the available unit types (one-bedroom, two-bedroom, three-bedroom units) and shall be of comparable quality and design to the market-rate units in the Project. d.  </w:t>
      </w:r>
      <w:r>
        <w:rPr>
          <w:b/>
          <w:color w:val="1F4E78"/>
          <w:sz w:val="22"/>
        </w:rPr>
        <w:t>Leasing and Occupancy:</w:t>
      </w:r>
      <w:r>
        <w:rPr>
          <w:color w:val="333333"/>
          <w:sz w:val="22"/>
        </w:rPr>
        <w:t xml:space="preserve"> Developer shall implement and adhere to a written affirmative marketing plan, approved by the Regulatory Authority, to ensure the full and continuous occupancy of the restricted units by eligible households. e.  </w:t>
      </w:r>
      <w:r>
        <w:rPr>
          <w:b/>
          <w:color w:val="1F4E78"/>
          <w:sz w:val="22"/>
        </w:rPr>
        <w:t>Verification:</w:t>
      </w:r>
      <w:r>
        <w:rPr>
          <w:color w:val="333333"/>
          <w:sz w:val="22"/>
        </w:rPr>
        <w:t xml:space="preserve"> Developer shall verify the income eligibility of prospective tenants for restricted units prior to initial occupancy and shall re-certify tenant income annually thereafter. All records related to tenant income and rent compliance shall be maintained for a minimum of seven (7) years and be made available for inspection by the Regulatory Authority upon reasonable notice.</w:t>
      </w:r>
    </w:p>
    <w:p>
      <w:r>
        <w:rPr>
          <w:color w:val="333333"/>
          <w:sz w:val="22"/>
        </w:rPr>
        <w:t xml:space="preserve">3.5. </w:t>
      </w:r>
      <w:r>
        <w:rPr>
          <w:b/>
          <w:color w:val="1F4E78"/>
          <w:sz w:val="22"/>
        </w:rPr>
        <w:t>Reporting and Records.</w:t>
      </w:r>
      <w:r>
        <w:rPr>
          <w:color w:val="333333"/>
          <w:sz w:val="22"/>
        </w:rPr>
        <w:t xml:space="preserve"> a.  </w:t>
      </w:r>
      <w:r>
        <w:rPr>
          <w:b/>
          <w:color w:val="1F4E78"/>
          <w:sz w:val="22"/>
        </w:rPr>
        <w:t>Compliance Reports:</w:t>
      </w:r>
      <w:r>
        <w:rPr>
          <w:color w:val="333333"/>
          <w:sz w:val="22"/>
        </w:rPr>
        <w:t xml:space="preserve"> Developer shall submit an annual compliance report to the Regulatory Authority, due no later than March 31st of each calendar year, detailing: (i) the occupancy and rent levels of all restricted units; (ii) a certification of tenant income eligibility; (iii) the status of the Replacement and Operating Reserves; and (iv) any material changes to the Project or its operations. b.  </w:t>
      </w:r>
      <w:r>
        <w:rPr>
          <w:b/>
          <w:color w:val="1F4E78"/>
          <w:sz w:val="22"/>
        </w:rPr>
        <w:t>Access to Records:</w:t>
      </w:r>
      <w:r>
        <w:rPr>
          <w:color w:val="333333"/>
          <w:sz w:val="22"/>
        </w:rPr>
        <w:t xml:space="preserve"> Developer shall grant the Regulatory Authority, its agents, or designees, reasonable access to the Project site, all books, records, and financial statements pertaining to the Project, upon reasonable prior written notice, for the purpose of monitoring compliance with this Agreement.</w:t>
      </w:r>
    </w:p>
    <w:p>
      <w:r>
        <w:rPr>
          <w:color w:val="333333"/>
          <w:sz w:val="22"/>
        </w:rPr>
        <w:t xml:space="preserve">3.6. </w:t>
      </w:r>
      <w:r>
        <w:rPr>
          <w:b/>
          <w:color w:val="1F4E78"/>
          <w:sz w:val="22"/>
        </w:rPr>
        <w:t>Transfers and Encumbrances.</w:t>
      </w:r>
      <w:r>
        <w:rPr>
          <w:color w:val="333333"/>
          <w:sz w:val="22"/>
        </w:rPr>
        <w:t xml:space="preserve"> a.  </w:t>
      </w:r>
      <w:r>
        <w:rPr>
          <w:b/>
          <w:color w:val="1F4E78"/>
          <w:sz w:val="22"/>
        </w:rPr>
        <w:t>Restrictions on Transfer:</w:t>
      </w:r>
      <w:r>
        <w:rPr>
          <w:color w:val="333333"/>
          <w:sz w:val="22"/>
        </w:rPr>
        <w:t xml:space="preserve"> Developer shall not sell, convey, assign, lease, or otherwise transfer all or any portion of its interest in the Property or the Project, or any controlling interest in Developer, without the prior written consent of the Regulatory Authority and Lender, which consent shall not be unreasonably withheld, conditioned, or delayed, provided that the transferee explicitly assumes all obligations under this Agreement. b.  </w:t>
      </w:r>
      <w:r>
        <w:rPr>
          <w:b/>
          <w:color w:val="1F4E78"/>
          <w:sz w:val="22"/>
        </w:rPr>
        <w:t>Permitted Encumbrances:</w:t>
      </w:r>
      <w:r>
        <w:rPr>
          <w:color w:val="333333"/>
          <w:sz w:val="22"/>
        </w:rPr>
        <w:t xml:space="preserve"> Developer shall not mortgage, pledge, or otherwise encumber the Property or the Project with any liens subordinate to the Construction Loan without the prior written consent of the Regulatory Authority.</w:t>
      </w:r>
    </w:p>
    <w:p>
      <w:r>
        <w:rPr>
          <w:color w:val="333333"/>
          <w:sz w:val="22"/>
        </w:rPr>
        <w:t xml:space="preserve">3.7. </w:t>
      </w:r>
      <w:r>
        <w:rPr>
          <w:b/>
          <w:color w:val="1F4E78"/>
          <w:sz w:val="22"/>
        </w:rPr>
        <w:t>Insurance.</w:t>
      </w:r>
      <w:r>
        <w:rPr>
          <w:color w:val="333333"/>
          <w:sz w:val="22"/>
        </w:rPr>
        <w:t xml:space="preserve"> Developer shall procure and maintain, or cause to be procured and maintained, during the term of this Agreement, commercial general liability insurance, property insurance (including builder's risk during construction), workers' compensation insurance, and such other insurance as may be required by Lender and Regulatory Authority, with coverage amounts and deductibles acceptable to both parties, naming Lender and Regulatory Authority as additional insureds or loss payees, as their interests may appear.</w:t>
      </w:r>
    </w:p>
    <w:p>
      <w:pPr>
        <w:jc w:val="center"/>
      </w:pPr>
      <w:r>
        <w:rPr>
          <w:color w:val="CCCCCC"/>
          <w:sz w:val="12"/>
        </w:rPr>
        <w:t>────────────────────────────────────────────────────────────────────────────────</w:t>
      </w:r>
    </w:p>
    <w:p>
      <w:pPr>
        <w:pStyle w:val="Heading2"/>
      </w:pPr>
      <w:r>
        <w:rPr>
          <w:color w:val="2E75B6"/>
          <w:sz w:val="30"/>
        </w:rPr>
        <w:t>ARTICLE IV: ENFORCEMENT AND REMEDIES</w:t>
      </w:r>
    </w:p>
    <w:p>
      <w:r>
        <w:rPr>
          <w:color w:val="333333"/>
          <w:sz w:val="22"/>
        </w:rPr>
        <w:t xml:space="preserve">4.1. </w:t>
      </w:r>
      <w:r>
        <w:rPr>
          <w:b/>
          <w:color w:val="1F4E78"/>
          <w:sz w:val="22"/>
        </w:rPr>
        <w:t>Events of Default.</w:t>
      </w:r>
      <w:r>
        <w:rPr>
          <w:color w:val="333333"/>
          <w:sz w:val="22"/>
        </w:rPr>
        <w:t xml:space="preserve"> Any of the following shall constitute an "Event of Default" under this Agreement: a.  Failure by Developer to achieve Substantial Completion by the Completion Date. b.  Failure by Developer to maintain the required DSCR, Replacement Reserve, or Operating Reserve balances as set forth in Section 3.3. c.  Breach of any of the affordability covenants set forth in Section 3.4. d.  Any material breach of any other covenant, condition, or obligation of Developer under this Agreement that is not cured within thirty (30) days after written notice thereof from Regulatory Authority or Lender, provided that if such default is not capable of being cured within thirty (30) days, Developer shall have such additional time as is reasonably necessary, not to exceed ninety (90) days, provided Developer commences and diligently pursues such cure within the initial thirty (30) day period. e.  Any Event of Default under the Loan Documents that is not cured within any applicable cure periods provided therein.</w:t>
      </w:r>
    </w:p>
    <w:p>
      <w:r>
        <w:rPr>
          <w:color w:val="333333"/>
          <w:sz w:val="22"/>
        </w:rPr>
        <w:t xml:space="preserve">4.2. </w:t>
      </w:r>
      <w:r>
        <w:rPr>
          <w:b/>
          <w:color w:val="1F4E78"/>
          <w:sz w:val="22"/>
        </w:rPr>
        <w:t>Remedies.</w:t>
      </w:r>
      <w:r>
        <w:rPr>
          <w:color w:val="333333"/>
          <w:sz w:val="22"/>
        </w:rPr>
        <w:t xml:space="preserve"> Upon the occurrence of an Event of Default, and in addition to any other rights or remedies available at law or in equity or under the Loan Documents, Regulatory Authority and/or Lender shall have the following rights and remedies: a.  </w:t>
      </w:r>
      <w:r>
        <w:rPr>
          <w:b/>
          <w:color w:val="1F4E78"/>
          <w:sz w:val="22"/>
        </w:rPr>
        <w:t>Specific Performance:</w:t>
      </w:r>
      <w:r>
        <w:rPr>
          <w:color w:val="333333"/>
          <w:sz w:val="22"/>
        </w:rPr>
        <w:t xml:space="preserve"> To seek specific performance of the terms and conditions of this Agreement. b.  </w:t>
      </w:r>
      <w:r>
        <w:rPr>
          <w:b/>
          <w:color w:val="1F4E78"/>
          <w:sz w:val="22"/>
        </w:rPr>
        <w:t>Injunctive Relief:</w:t>
      </w:r>
      <w:r>
        <w:rPr>
          <w:color w:val="333333"/>
          <w:sz w:val="22"/>
        </w:rPr>
        <w:t xml:space="preserve"> To seek injunctive relief to prevent further violations of this Agreement. c.  </w:t>
      </w:r>
      <w:r>
        <w:rPr>
          <w:b/>
          <w:color w:val="1F4E78"/>
          <w:sz w:val="22"/>
        </w:rPr>
        <w:t>Withholding of Benefits:</w:t>
      </w:r>
      <w:r>
        <w:rPr>
          <w:color w:val="333333"/>
          <w:sz w:val="22"/>
        </w:rPr>
        <w:t xml:space="preserve"> The Regulatory Authority may, in its sole discretion, suspend or terminate any public benefits, including but not limited to the tax abatement and bond financing allocations, provided for the Project. d.  </w:t>
      </w:r>
      <w:r>
        <w:rPr>
          <w:b/>
          <w:color w:val="1F4E78"/>
          <w:sz w:val="22"/>
        </w:rPr>
        <w:t>Acceleration:</w:t>
      </w:r>
      <w:r>
        <w:rPr>
          <w:color w:val="333333"/>
          <w:sz w:val="22"/>
        </w:rPr>
        <w:t xml:space="preserve"> Lender may declare the entire unpaid principal balance of the Construction Loan, together with all accrued interest and other sums due under the Loan Documents, immediately due and payable. e.  </w:t>
      </w:r>
      <w:r>
        <w:rPr>
          <w:b/>
          <w:color w:val="1F4E78"/>
          <w:sz w:val="22"/>
        </w:rPr>
        <w:t>Foreclosure:</w:t>
      </w:r>
      <w:r>
        <w:rPr>
          <w:color w:val="333333"/>
          <w:sz w:val="22"/>
        </w:rPr>
        <w:t xml:space="preserve"> Lender may exercise its rights and remedies under the Deed of Trust, including judicial or non-judicial foreclosure of the Property. f.  </w:t>
      </w:r>
      <w:r>
        <w:rPr>
          <w:b/>
          <w:color w:val="1F4E78"/>
          <w:sz w:val="22"/>
        </w:rPr>
        <w:t>Appointment of Receiver:</w:t>
      </w:r>
      <w:r>
        <w:rPr>
          <w:color w:val="333333"/>
          <w:sz w:val="22"/>
        </w:rPr>
        <w:t xml:space="preserve"> To apply for the appointment of a receiver to take possession of the Project and operate it in accordance with this Agreement.</w:t>
      </w:r>
    </w:p>
    <w:p>
      <w:pPr>
        <w:jc w:val="center"/>
      </w:pPr>
      <w:r>
        <w:rPr>
          <w:color w:val="CCCCCC"/>
          <w:sz w:val="12"/>
        </w:rPr>
        <w:t>────────────────────────────────────────────────────────────────────────────────</w:t>
      </w:r>
    </w:p>
    <w:p>
      <w:pPr>
        <w:pStyle w:val="Heading2"/>
      </w:pPr>
      <w:r>
        <w:rPr>
          <w:color w:val="2E75B6"/>
          <w:sz w:val="30"/>
        </w:rPr>
        <w:t>ARTICLE V: TERM</w:t>
      </w:r>
    </w:p>
    <w:p>
      <w:r>
        <w:rPr>
          <w:color w:val="333333"/>
          <w:sz w:val="22"/>
        </w:rPr>
        <w:t xml:space="preserve">5.1. </w:t>
      </w:r>
      <w:r>
        <w:rPr>
          <w:b/>
          <w:color w:val="1F4E78"/>
          <w:sz w:val="22"/>
        </w:rPr>
        <w:t>Term of Agreement.</w:t>
      </w:r>
      <w:r>
        <w:rPr>
          <w:color w:val="333333"/>
          <w:sz w:val="22"/>
        </w:rPr>
        <w:t xml:space="preserve"> This Agreement shall commence on the Effective Date and shall remain in full force and effect for a period of thirty (30) years following the issuance of the final Certificate of Occupancy for the Project, or until all obligations hereunder, including specifically the Affordability Period, have been satisfied, whichever is later. The termination of the Construction Loan or the release of the Deed of Trust shall not terminate this Agreement or release Developer from its covenants hereunder, particularly those related to affordability and long-term operation.</w:t>
      </w:r>
    </w:p>
    <w:p>
      <w:pPr>
        <w:jc w:val="center"/>
      </w:pPr>
      <w:r>
        <w:rPr>
          <w:color w:val="CCCCCC"/>
          <w:sz w:val="12"/>
        </w:rPr>
        <w:t>────────────────────────────────────────────────────────────────────────────────</w:t>
      </w:r>
    </w:p>
    <w:p>
      <w:pPr>
        <w:pStyle w:val="Heading2"/>
      </w:pPr>
      <w:r>
        <w:rPr>
          <w:color w:val="2E75B6"/>
          <w:sz w:val="30"/>
        </w:rPr>
        <w:t>ARTICLE VI: MISCELLANEOUS PROVISIONS</w:t>
      </w:r>
    </w:p>
    <w:p>
      <w:r>
        <w:rPr>
          <w:color w:val="333333"/>
          <w:sz w:val="22"/>
        </w:rPr>
        <w:t xml:space="preserve">6.1. </w:t>
      </w:r>
      <w:r>
        <w:rPr>
          <w:b/>
          <w:color w:val="1F4E78"/>
          <w:sz w:val="22"/>
        </w:rPr>
        <w:t>Notices.</w:t>
      </w:r>
      <w:r>
        <w:rPr>
          <w:color w:val="333333"/>
          <w:sz w:val="22"/>
        </w:rPr>
        <w:t xml:space="preserve"> All notices, demands, or other communications required or permitted hereunder shall be in writing and shall be deemed to have been duly given when delivered personally, sent by reputable overnight courier, or mailed by certified mail, return receipt requested, postage prepaid, to the parties at their addresses first set forth above, or to such other addresses as any party may designate by written notice to the others. 6.2. </w:t>
      </w:r>
      <w:r>
        <w:rPr>
          <w:b/>
          <w:color w:val="1F4E78"/>
          <w:sz w:val="22"/>
        </w:rPr>
        <w:t>Governing Law.</w:t>
      </w:r>
      <w:r>
        <w:rPr>
          <w:color w:val="333333"/>
          <w:sz w:val="22"/>
        </w:rPr>
        <w:t xml:space="preserve"> This Agreement shall be governed by and construed in accordance with the laws of the State of Generica, without regard to its conflict of laws principles. 6.3. </w:t>
      </w:r>
      <w:r>
        <w:rPr>
          <w:b/>
          <w:color w:val="1F4E78"/>
          <w:sz w:val="22"/>
        </w:rPr>
        <w:t>Successors and Assigns.</w:t>
      </w:r>
      <w:r>
        <w:rPr>
          <w:color w:val="333333"/>
          <w:sz w:val="22"/>
        </w:rPr>
        <w:t xml:space="preserve"> This Agreement shall be binding upon and inure to the benefit of Developer, Lender, Regulatory Authority, and their respective successors, heirs, and permitted assigns. The covenants contained herein, particularly those related to affordability, shall run with the land and bind all future owners of the Property and the Project during the term of this Agreement. 6.4. </w:t>
      </w:r>
      <w:r>
        <w:rPr>
          <w:b/>
          <w:color w:val="1F4E78"/>
          <w:sz w:val="22"/>
        </w:rPr>
        <w:t>Amendments.</w:t>
      </w:r>
      <w:r>
        <w:rPr>
          <w:color w:val="333333"/>
          <w:sz w:val="22"/>
        </w:rPr>
        <w:t xml:space="preserve"> This Agreement may not be amended, modified, or terminated except by a written instrument executed by all parties hereto. 6.5. </w:t>
      </w:r>
      <w:r>
        <w:rPr>
          <w:b/>
          <w:color w:val="1F4E78"/>
          <w:sz w:val="22"/>
        </w:rPr>
        <w:t>Severability.</w:t>
      </w:r>
      <w:r>
        <w:rPr>
          <w:color w:val="333333"/>
          <w:sz w:val="22"/>
        </w:rPr>
        <w:t xml:space="preserve"> If any term or provision of this Agreement shall be held to be invalid, illegal, or unenforceable, the validity, legality, and enforceability of the remaining terms and provisions shall in no way be affected or impaired thereby. 6.6. </w:t>
      </w:r>
      <w:r>
        <w:rPr>
          <w:b/>
          <w:color w:val="1F4E78"/>
          <w:sz w:val="22"/>
        </w:rPr>
        <w:t>Waiver.</w:t>
      </w:r>
      <w:r>
        <w:rPr>
          <w:color w:val="333333"/>
          <w:sz w:val="22"/>
        </w:rPr>
        <w:t xml:space="preserve"> No waiver of any breach of any covenant or provision herein contained shall be deemed a waiver of any preceding or succeeding breach thereof, or of any other covenant or provision herein contained. No extension of time for performance of any obligation or act shall be deemed an extension of time for performance of any other obligation or act. 6.7. </w:t>
      </w:r>
      <w:r>
        <w:rPr>
          <w:b/>
          <w:color w:val="1F4E78"/>
          <w:sz w:val="22"/>
        </w:rPr>
        <w:t>Attorneys' Fees.</w:t>
      </w:r>
      <w:r>
        <w:rPr>
          <w:color w:val="333333"/>
          <w:sz w:val="22"/>
        </w:rPr>
        <w:t xml:space="preserve"> In the event any party hereto institutes legal action to enforce the terms of this Agreement, the prevailing party in such action shall be entitled to recover from the non-prevailing party all reasonable attorneys' fees and costs incurred in connection with such action. 6.8. </w:t>
      </w:r>
      <w:r>
        <w:rPr>
          <w:b/>
          <w:color w:val="1F4E78"/>
          <w:sz w:val="22"/>
        </w:rPr>
        <w:t>Counterparts.</w:t>
      </w:r>
      <w:r>
        <w:rPr>
          <w:color w:val="333333"/>
          <w:sz w:val="22"/>
        </w:rPr>
        <w:t xml:space="preserve"> This Agreement may be executed in several counterparts, each of which shall be deemed an original, and all of which together shall constitute one and the same instrument. Electronic signatures shall be deemed original for all purposes.</w:t>
      </w:r>
    </w:p>
    <w:p>
      <w:pPr>
        <w:jc w:val="center"/>
      </w:pPr>
      <w:r>
        <w:rPr>
          <w:color w:val="CCCCCC"/>
          <w:sz w:val="12"/>
        </w:rPr>
        <w:t>────────────────────────────────────────────────────────────────────────────────</w:t>
      </w:r>
    </w:p>
    <w:p>
      <w:r>
        <w:rPr>
          <w:b/>
          <w:color w:val="1F4E78"/>
          <w:sz w:val="22"/>
        </w:rPr>
        <w:t>IN WITNESS WHEREOF</w:t>
      </w:r>
      <w:r>
        <w:rPr>
          <w:color w:val="333333"/>
          <w:sz w:val="22"/>
        </w:rPr>
        <w:t>, the parties hereto have caused this Regulatory Agreement to be executed by their duly authorized representatives as of the Effective Date.</w:t>
      </w:r>
    </w:p>
    <w:p>
      <w:r>
        <w:rPr>
          <w:b/>
          <w:color w:val="1F4E78"/>
          <w:sz w:val="22"/>
        </w:rPr>
        <w:t>SO-GOOD DEVELOPMENT, LLC</w:t>
      </w:r>
    </w:p>
    <w:p>
      <w:r>
        <w:rPr>
          <w:color w:val="333333"/>
          <w:sz w:val="22"/>
        </w:rPr>
        <w:t>By: \_\_\_\_\_\_\_\_\_\_\_\_\_\_\_\_\_\_\_\_\_\_\_\_\_\_\_\_\_\_ Name: \[Authorized Signatory Name] Title: \[Authorized Signatory Title]</w:t>
      </w:r>
    </w:p>
    <w:p>
      <w:r>
        <w:rPr>
          <w:b/>
          <w:color w:val="1F4E78"/>
          <w:sz w:val="22"/>
        </w:rPr>
        <w:t>CAPITAL EQUITY FUNDING, LP</w:t>
      </w:r>
    </w:p>
    <w:p>
      <w:r>
        <w:rPr>
          <w:color w:val="333333"/>
          <w:sz w:val="22"/>
        </w:rPr>
        <w:t>By: \_\_\_\_\_\_\_\_\_\_\_\_\_\_\_\_\_\_\_\_\_\_\_\_\_\_\_\_\_\_ Name: \[Authorized Signatory Name] Title: \[Authorized Signatory Title]</w:t>
      </w:r>
    </w:p>
    <w:p>
      <w:r>
        <w:rPr>
          <w:b/>
          <w:color w:val="1F4E78"/>
          <w:sz w:val="22"/>
        </w:rPr>
        <w:t>SPRINGFIELD HOUSING AND COMMUNITY DEVELOPMENT AUTHORITY</w:t>
      </w:r>
    </w:p>
    <w:p>
      <w:r>
        <w:rPr>
          <w:color w:val="333333"/>
          <w:sz w:val="22"/>
        </w:rPr>
        <w:t>By: \_\_\_\_\_\_\_\_\_\_\_\_\_\_\_\_\_\_\_\_\_\_\_\_\_\_\_\_\_\_ Name: \[Authorized Signatory Name] Title: \[Authorized Signatory Title]</w:t>
      </w:r>
    </w:p>
    <w:p>
      <w:pPr>
        <w:jc w:val="center"/>
      </w:pPr>
      <w:r>
        <w:rPr>
          <w:color w:val="CCCCCC"/>
          <w:sz w:val="12"/>
        </w:rPr>
        <w:t>────────────────────────────────────────────────────────────────────────────────</w:t>
      </w:r>
    </w:p>
    <w:p>
      <w:r>
        <w:rPr>
          <w:b/>
          <w:color w:val="1F4E78"/>
          <w:sz w:val="22"/>
        </w:rPr>
        <w:t>EXHIBIT A</w:t>
      </w:r>
    </w:p>
    <w:p>
      <w:r>
        <w:rPr>
          <w:b/>
          <w:color w:val="1F4E78"/>
          <w:sz w:val="22"/>
        </w:rPr>
        <w:t>Legal Description of the Property</w:t>
      </w:r>
    </w:p>
    <w:p>
      <w:r>
        <w:rPr>
          <w:color w:val="333333"/>
          <w:sz w:val="22"/>
        </w:rPr>
        <w:t>ALL THAT CERTAIN REAL PROPERTY SITUATED IN THE CITY OF SPRINGFIELD, COUNTY OF CAPITAL, STATE OF GENERICIA, DESCRIBED AS FOLLOWS:</w:t>
      </w:r>
    </w:p>
    <w:p>
      <w:r>
        <w:rPr>
          <w:color w:val="333333"/>
          <w:sz w:val="22"/>
        </w:rPr>
        <w:t>LOTS 1 THROUGH 10, BLOCK 23, OF TRACT MAP NO. 7890, AS PER MAP RECORDED IN BOOK 50 OF MAPS, PAGE 12, IN THE OFFICE OF THE COUNTY RECORDER OF CAPITAL COUNTY, STATE OF GENERICIA.</w:t>
      </w:r>
    </w:p>
    <w:p>
      <w:r>
        <w:rPr>
          <w:color w:val="333333"/>
          <w:sz w:val="22"/>
        </w:rPr>
        <w:t>Assessor's Parcel Number: 12-345-678-90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