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8"/>
          <w:sz w:val="56"/>
        </w:rPr>
        <w:t>RELOCATION PLAN</w:t>
      </w:r>
    </w:p>
    <w:p>
      <w:pPr>
        <w:jc w:val="center"/>
      </w:pPr>
      <w:r>
        <w:rPr>
          <w:color w:val="2E75B6"/>
          <w:sz w:val="32"/>
        </w:rPr>
        <w:t>So-Good Apartments JV LLC</w:t>
      </w:r>
    </w:p>
    <w:p>
      <w:pPr>
        <w:jc w:val="center"/>
      </w:pPr>
      <w:r>
        <w:rPr>
          <w:color w:val="707070"/>
          <w:sz w:val="24"/>
        </w:rPr>
        <w:t>Springfield, Illinois</w:t>
      </w:r>
    </w:p>
    <w:p/>
    <w:p>
      <w:pPr>
        <w:jc w:val="center"/>
      </w:pPr>
      <w:r>
        <w:rPr>
          <w:color w:val="2E75B6"/>
          <w:sz w:val="20"/>
        </w:rPr>
        <w:t>━━━━━━━━━━━━━━━━━━━━━━━━━━━━━━━━━━━━━━━━━━━━━━━━━━</w:t>
      </w:r>
    </w:p>
    <w:p/>
    <w:p>
      <w:pPr>
        <w:jc w:val="center"/>
      </w:pPr>
      <w:r>
        <w:rPr>
          <w:i/>
          <w:color w:val="999999"/>
          <w:sz w:val="18"/>
        </w:rPr>
        <w:t>CONFIDENTIAL — FOR AUTHORIZED USE ONLY</w:t>
      </w:r>
    </w:p>
    <w:p>
      <w:r>
        <w:br w:type="page"/>
      </w:r>
    </w:p>
    <w:p>
      <w:pPr>
        <w:pStyle w:val="Heading2"/>
      </w:pPr>
      <w:r>
        <w:rPr>
          <w:color w:val="2E75B6"/>
          <w:sz w:val="30"/>
        </w:rPr>
        <w:t>Relocation Plan: So-Good Apartments Development, Springfield</w:t>
      </w:r>
    </w:p>
    <w:p>
      <w:r>
        <w:rPr>
          <w:b/>
          <w:color w:val="1F4E78"/>
          <w:sz w:val="22"/>
        </w:rPr>
        <w:t>Prepared For:</w:t>
      </w:r>
      <w:r>
        <w:rPr>
          <w:color w:val="333333"/>
          <w:sz w:val="22"/>
        </w:rPr>
        <w:t xml:space="preserve"> Evergreen Development Group LLC</w:t>
      </w:r>
    </w:p>
    <w:p>
      <w:r>
        <w:rPr>
          <w:b/>
          <w:color w:val="1F4E78"/>
          <w:sz w:val="22"/>
        </w:rPr>
        <w:t>Prepared By:</w:t>
      </w:r>
      <w:r>
        <w:rPr>
          <w:color w:val="333333"/>
          <w:sz w:val="22"/>
        </w:rPr>
        <w:t xml:space="preserve"> [Your Name/Underwriting Department], Senior Underwriting &amp; Legal Counsel</w:t>
      </w:r>
    </w:p>
    <w:p>
      <w:r>
        <w:rPr>
          <w:b/>
          <w:color w:val="1F4E78"/>
          <w:sz w:val="22"/>
        </w:rPr>
        <w:t>Date:</w:t>
      </w:r>
      <w:r>
        <w:rPr>
          <w:color w:val="333333"/>
          <w:sz w:val="22"/>
        </w:rPr>
        <w:t xml:space="preserve"> October 26, 2023</w:t>
      </w:r>
    </w:p>
    <w:p>
      <w:r>
        <w:rPr>
          <w:b/>
          <w:color w:val="1F4E78"/>
          <w:sz w:val="22"/>
        </w:rPr>
        <w:t>Version:</w:t>
      </w:r>
      <w:r>
        <w:rPr>
          <w:color w:val="333333"/>
          <w:sz w:val="22"/>
        </w:rPr>
        <w:t xml:space="preserve"> 1.1</w:t>
      </w:r>
    </w:p>
    <w:p>
      <w:pPr>
        <w:jc w:val="center"/>
      </w:pPr>
      <w:r>
        <w:rPr>
          <w:color w:val="CCCCCC"/>
          <w:sz w:val="12"/>
        </w:rPr>
        <w:t>────────────────────────────────────────────────────────────────────────────────</w:t>
      </w:r>
    </w:p>
    <w:p>
      <w:pPr>
        <w:pStyle w:val="Heading3"/>
      </w:pPr>
      <w:r>
        <w:rPr>
          <w:color w:val="2E75B6"/>
          <w:sz w:val="26"/>
        </w:rPr>
        <w:t>1.0 Executive Summary</w:t>
      </w:r>
    </w:p>
    <w:p>
      <w:r>
        <w:rPr>
          <w:color w:val="333333"/>
          <w:sz w:val="22"/>
        </w:rPr>
        <w:t>This Relocation Plan (hereinafter, the "Plan") outlines the comprehensive strategy and protocols for the equitable and legally compliant relocation of existing tenants and occupants from the property located at 123 Main Street, Springfield (hereinafter, the "Site"). The Site is designated for the development of the 'So-Good Apartments' project, a $65,000,000 multi-family residential complex. This Plan is meticulously structured to ensure strict adherence to all applicable federal, state, and municipal statutes, ordinances, and administrative codes, including but not limited to, the Uniform Relocation Assistance and Real Property Acquisition Policies Act of 1970 (URA) where federal nexus exists, and specific local tenant protection ordinances. Our paramount objective is to mitigate potential legal and reputational risks while facilitating a humane and orderly transition for all displaced persons, safeguarding their rights, and minimizing disruption to their livelihoods.</w:t>
      </w:r>
    </w:p>
    <w:p>
      <w:pPr>
        <w:pStyle w:val="Heading3"/>
      </w:pPr>
      <w:r>
        <w:rPr>
          <w:color w:val="2E75B6"/>
          <w:sz w:val="26"/>
        </w:rPr>
        <w:t>2.0 Project Overview and Rationale for Relocation</w:t>
      </w:r>
    </w:p>
    <w:p>
      <w:r>
        <w:rPr>
          <w:b/>
          <w:color w:val="1F4E78"/>
          <w:sz w:val="22"/>
        </w:rPr>
        <w:t>2.1 Project Identification:</w:t>
      </w:r>
    </w:p>
    <w:p>
      <w:pPr>
        <w:pStyle w:val="ListBullet"/>
        <w:ind w:left="720"/>
      </w:pPr>
      <w:r>
        <w:rPr>
          <w:b/>
          <w:color w:val="1F4E78"/>
          <w:sz w:val="22"/>
        </w:rPr>
        <w:t>Project Name:</w:t>
      </w:r>
      <w:r>
        <w:rPr>
          <w:color w:val="333333"/>
          <w:sz w:val="22"/>
        </w:rPr>
        <w:t xml:space="preserve"> So-Good Apartments</w:t>
      </w:r>
    </w:p>
    <w:p>
      <w:pPr>
        <w:pStyle w:val="ListBullet"/>
        <w:ind w:left="720"/>
      </w:pPr>
      <w:r>
        <w:rPr>
          <w:b/>
          <w:color w:val="1F4E78"/>
          <w:sz w:val="22"/>
        </w:rPr>
        <w:t>Developer:</w:t>
      </w:r>
      <w:r>
        <w:rPr>
          <w:color w:val="333333"/>
          <w:sz w:val="22"/>
        </w:rPr>
        <w:t xml:space="preserve"> Evergreen Development Group LLC</w:t>
      </w:r>
    </w:p>
    <w:p>
      <w:pPr>
        <w:pStyle w:val="ListBullet"/>
        <w:ind w:left="720"/>
      </w:pPr>
      <w:r>
        <w:rPr>
          <w:b/>
          <w:color w:val="1F4E78"/>
          <w:sz w:val="22"/>
        </w:rPr>
        <w:t>Project Type:</w:t>
      </w:r>
      <w:r>
        <w:rPr>
          <w:color w:val="333333"/>
          <w:sz w:val="22"/>
        </w:rPr>
        <w:t xml:space="preserve"> Multi-Family Residential Development</w:t>
      </w:r>
    </w:p>
    <w:p>
      <w:pPr>
        <w:pStyle w:val="ListBullet"/>
        <w:ind w:left="720"/>
      </w:pPr>
      <w:r>
        <w:rPr>
          <w:b/>
          <w:color w:val="1F4E78"/>
          <w:sz w:val="22"/>
        </w:rPr>
        <w:t>Site Address:</w:t>
      </w:r>
      <w:r>
        <w:rPr>
          <w:color w:val="333333"/>
          <w:sz w:val="22"/>
        </w:rPr>
        <w:t xml:space="preserve"> 123 Main Street, Springfield, Anystate, 12345</w:t>
      </w:r>
    </w:p>
    <w:p>
      <w:pPr>
        <w:pStyle w:val="ListBullet"/>
        <w:ind w:left="720"/>
      </w:pPr>
      <w:r>
        <w:rPr>
          <w:b/>
          <w:color w:val="1F4E78"/>
          <w:sz w:val="22"/>
        </w:rPr>
        <w:t>Total Project Cost:</w:t>
      </w:r>
      <w:r>
        <w:rPr>
          <w:color w:val="333333"/>
          <w:sz w:val="22"/>
        </w:rPr>
        <w:t xml:space="preserve"> $65,000,000 (Sixty-Five Million United States Dollars)</w:t>
      </w:r>
    </w:p>
    <w:p>
      <w:pPr>
        <w:pStyle w:val="ListBullet"/>
        <w:ind w:left="720"/>
      </w:pPr>
      <w:r>
        <w:rPr>
          <w:b/>
          <w:color w:val="1F4E78"/>
          <w:sz w:val="22"/>
        </w:rPr>
        <w:t>Proposed Units:</w:t>
      </w:r>
      <w:r>
        <w:rPr>
          <w:color w:val="333333"/>
          <w:sz w:val="22"/>
        </w:rPr>
        <w:t xml:space="preserve"> 250 Class A multi-family rental units upon completion.</w:t>
      </w:r>
    </w:p>
    <w:p>
      <w:pPr>
        <w:pStyle w:val="ListBullet"/>
        <w:ind w:left="720"/>
      </w:pPr>
      <w:r>
        <w:rPr>
          <w:b/>
          <w:color w:val="1F4E78"/>
          <w:sz w:val="22"/>
        </w:rPr>
        <w:t>Existing Structures:</w:t>
      </w:r>
      <w:r>
        <w:rPr>
          <w:color w:val="333333"/>
          <w:sz w:val="22"/>
        </w:rPr>
        <w:t xml:space="preserve"> The Site currently comprises an aging, 85-unit multi-family apartment complex constructed in 1968, presently known as "Main Street Residences." These structures are functionally obsolete and are scheduled for complete demolition to facilitate the ground-up construction of the So-Good Apartments.</w:t>
      </w:r>
    </w:p>
    <w:p>
      <w:r>
        <w:rPr>
          <w:b/>
          <w:color w:val="1F4E78"/>
          <w:sz w:val="22"/>
        </w:rPr>
        <w:t>2.2 Rationale for Displacement:</w:t>
      </w:r>
    </w:p>
    <w:p>
      <w:r>
        <w:rPr>
          <w:color w:val="333333"/>
          <w:sz w:val="22"/>
        </w:rPr>
        <w:t>The redevelopment of the Site necessitates the complete displacement of all existing tenants and occupants. The scope of the So-Good Apartments project involves the demolition of all existing residential structures, extensive site preparation, and new construction that renders the existing premises unsuitable for continued occupancy. This action is unavoidable to achieve the project's financial pro-forma and realize the highest and best use of the land, which will contribute significant housing stock and economic vitality to the Springfield community.</w:t>
      </w:r>
    </w:p>
    <w:p>
      <w:pPr>
        <w:pStyle w:val="Heading3"/>
      </w:pPr>
      <w:r>
        <w:rPr>
          <w:color w:val="2E75B6"/>
          <w:sz w:val="26"/>
        </w:rPr>
        <w:t>3.0 Legal and Regulatory Framework</w:t>
      </w:r>
    </w:p>
    <w:p>
      <w:r>
        <w:rPr>
          <w:color w:val="333333"/>
          <w:sz w:val="22"/>
        </w:rPr>
        <w:t>This Relocation Plan is predicated on an unreserved commitment to strict legal compliance. Evergreen Development Group LLC acknowledges and accepts its obligations under the following primary regulatory instruments:</w:t>
      </w:r>
    </w:p>
    <w:p>
      <w:r>
        <w:rPr>
          <w:b/>
          <w:color w:val="1F4E78"/>
          <w:sz w:val="22"/>
        </w:rPr>
        <w:t>3.1 Federal Compliance (URA Applicability):</w:t>
      </w:r>
    </w:p>
    <w:p>
      <w:r>
        <w:rPr>
          <w:color w:val="333333"/>
          <w:sz w:val="22"/>
        </w:rPr>
        <w:t xml:space="preserve">While the So-Good Apartments project is primarily financed through conventional private equity and senior debt, Evergreen Development Group LLC proactively anticipates potential future federal nexus, such as the receipt of federal housing subsidies (e.g., Section 8 vouchers by future tenants) or community development block grants for related infrastructure improvements. As a best practice, and to preclude any future compliance deficiencies, this Plan incorporates the principles and guidelines of the </w:t>
      </w:r>
      <w:r>
        <w:rPr>
          <w:b/>
          <w:color w:val="1F4E78"/>
          <w:sz w:val="22"/>
        </w:rPr>
        <w:t>Uniform Relocation Assistance and Real Property Acquisition Policies Act of 1970 (Public Law 91-646, as amended)</w:t>
      </w:r>
      <w:r>
        <w:rPr>
          <w:color w:val="333333"/>
          <w:sz w:val="22"/>
        </w:rPr>
        <w:t xml:space="preserve"> and its implementing regulations at 49 CFR Part 24, where feasible and prudent, particularly concerning "comparable replacement dwelling" and financial assistance definitions. Should a direct federal nexus be established through acquisition or financing, full URA compliance will be immediately and stringently implemented.</w:t>
      </w:r>
    </w:p>
    <w:p>
      <w:r>
        <w:rPr>
          <w:b/>
          <w:color w:val="1F4E78"/>
          <w:sz w:val="22"/>
        </w:rPr>
        <w:t>3.2 State and Local Compliance:</w:t>
      </w:r>
    </w:p>
    <w:p>
      <w:pPr>
        <w:pStyle w:val="ListBullet"/>
        <w:ind w:left="720"/>
      </w:pPr>
      <w:r>
        <w:rPr>
          <w:b/>
          <w:color w:val="1F4E78"/>
          <w:sz w:val="22"/>
        </w:rPr>
        <w:t>State of Anystate Landlord-Tenant Act (Revised Statutes Chapter 59.18):</w:t>
      </w:r>
      <w:r>
        <w:rPr>
          <w:color w:val="333333"/>
          <w:sz w:val="22"/>
        </w:rPr>
        <w:t xml:space="preserve"> Governs lease terminations, notice periods, security deposit returns, and general landlord-tenant relations.</w:t>
      </w:r>
    </w:p>
    <w:p>
      <w:pPr>
        <w:pStyle w:val="ListBullet"/>
        <w:ind w:left="720"/>
      </w:pPr>
      <w:r>
        <w:rPr>
          <w:b/>
          <w:color w:val="1F4E78"/>
          <w:sz w:val="22"/>
        </w:rPr>
        <w:t>Springfield Tenant Protection Ordinance (STPO) Chapter 4.12.030, Section C:</w:t>
      </w:r>
      <w:r>
        <w:rPr>
          <w:color w:val="333333"/>
          <w:sz w:val="22"/>
        </w:rPr>
        <w:t xml:space="preserve"> This local ordinance specifically mandates enhanced relocation assistance for tenants displaced due to demolition or substantial rehabilitation. Key provisions include:</w:t>
      </w:r>
    </w:p>
    <w:p>
      <w:pPr>
        <w:pStyle w:val="ListBullet"/>
        <w:ind w:left="1080"/>
      </w:pPr>
      <w:r>
        <w:rPr>
          <w:color w:val="333333"/>
          <w:sz w:val="22"/>
        </w:rPr>
        <w:t xml:space="preserve">A minimum </w:t>
      </w:r>
      <w:r>
        <w:rPr>
          <w:b/>
          <w:color w:val="1F4E78"/>
          <w:sz w:val="22"/>
        </w:rPr>
        <w:t>120-day written notice to vacate</w:t>
      </w:r>
      <w:r>
        <w:rPr>
          <w:color w:val="333333"/>
          <w:sz w:val="22"/>
        </w:rPr>
        <w:t xml:space="preserve"> for demolition projects.</w:t>
      </w:r>
    </w:p>
    <w:p>
      <w:pPr>
        <w:pStyle w:val="ListBullet"/>
        <w:ind w:left="1080"/>
      </w:pPr>
      <w:r>
        <w:rPr>
          <w:color w:val="333333"/>
          <w:sz w:val="22"/>
        </w:rPr>
        <w:t xml:space="preserve">Mandatory </w:t>
      </w:r>
      <w:r>
        <w:rPr>
          <w:b/>
          <w:color w:val="1F4E78"/>
          <w:sz w:val="22"/>
        </w:rPr>
        <w:t>Relocation Assistance Payments (RAP)</w:t>
      </w:r>
      <w:r>
        <w:rPr>
          <w:color w:val="333333"/>
          <w:sz w:val="22"/>
        </w:rPr>
        <w:t>, calculated based on unit size and household income, which may exceed URA minimums.</w:t>
      </w:r>
    </w:p>
    <w:p>
      <w:pPr>
        <w:pStyle w:val="ListBullet"/>
        <w:ind w:left="1080"/>
      </w:pPr>
      <w:r>
        <w:rPr>
          <w:color w:val="333333"/>
          <w:sz w:val="22"/>
        </w:rPr>
        <w:t>Prohibition against "no-cause" evictions without provision of qualifying relocation assistance.</w:t>
      </w:r>
    </w:p>
    <w:p>
      <w:pPr>
        <w:pStyle w:val="ListBullet"/>
        <w:ind w:left="1080"/>
      </w:pPr>
      <w:r>
        <w:rPr>
          <w:color w:val="333333"/>
          <w:sz w:val="22"/>
        </w:rPr>
        <w:t xml:space="preserve">Requirement for </w:t>
      </w:r>
      <w:r>
        <w:rPr>
          <w:b/>
          <w:color w:val="1F4E78"/>
          <w:sz w:val="22"/>
        </w:rPr>
        <w:t>bona fide re-housing assistance</w:t>
      </w:r>
      <w:r>
        <w:rPr>
          <w:color w:val="333333"/>
          <w:sz w:val="22"/>
        </w:rPr>
        <w:t>, including provision of available comparable replacement dwellings.</w:t>
      </w:r>
    </w:p>
    <w:p>
      <w:pPr>
        <w:pStyle w:val="ListBullet"/>
        <w:ind w:left="720"/>
      </w:pPr>
      <w:r>
        <w:rPr>
          <w:b/>
          <w:color w:val="1F4E78"/>
          <w:sz w:val="22"/>
        </w:rPr>
        <w:t>Springfield Fair Housing Ordinance:</w:t>
      </w:r>
      <w:r>
        <w:rPr>
          <w:color w:val="333333"/>
          <w:sz w:val="22"/>
        </w:rPr>
        <w:t xml:space="preserve"> Prohibits discrimination in housing based on protected characteristics.</w:t>
      </w:r>
    </w:p>
    <w:p>
      <w:pPr>
        <w:pStyle w:val="ListBullet"/>
        <w:ind w:left="720"/>
      </w:pPr>
      <w:r>
        <w:rPr>
          <w:b/>
          <w:color w:val="1F4E78"/>
          <w:sz w:val="22"/>
        </w:rPr>
        <w:t>Americans with Disabilities Act (ADA):</w:t>
      </w:r>
      <w:r>
        <w:rPr>
          <w:color w:val="333333"/>
          <w:sz w:val="22"/>
        </w:rPr>
        <w:t xml:space="preserve"> Ensures accessibility for disabled individuals in all relocation services and communications.</w:t>
      </w:r>
    </w:p>
    <w:p>
      <w:r>
        <w:rPr>
          <w:b/>
          <w:color w:val="1F4E78"/>
          <w:sz w:val="22"/>
        </w:rPr>
        <w:t>3.3 Compliance Assurance:</w:t>
      </w:r>
    </w:p>
    <w:p>
      <w:r>
        <w:rPr>
          <w:color w:val="333333"/>
          <w:sz w:val="22"/>
        </w:rPr>
        <w:t>A dedicated Relocation Officer, supported by external legal counsel specializing in landlord-tenant and eminent domain law, shall oversee all aspects of this Plan's implementation. All notices, forms, and communications shall be vetted by legal counsel to ensure precise statutory compliance and clarity.</w:t>
      </w:r>
    </w:p>
    <w:p>
      <w:pPr>
        <w:pStyle w:val="Heading3"/>
      </w:pPr>
      <w:r>
        <w:rPr>
          <w:color w:val="2E75B6"/>
          <w:sz w:val="26"/>
        </w:rPr>
        <w:t>4.0 Affected Parties Analysis</w:t>
      </w:r>
    </w:p>
    <w:p>
      <w:r>
        <w:rPr>
          <w:b/>
          <w:color w:val="1F4E78"/>
          <w:sz w:val="22"/>
        </w:rPr>
        <w:t>4.1 Existing Occupancy Data (as of October 20, 2023):</w:t>
      </w:r>
    </w:p>
    <w:p>
      <w:pPr>
        <w:pStyle w:val="ListBullet"/>
        <w:ind w:left="720"/>
      </w:pPr>
      <w:r>
        <w:rPr>
          <w:b/>
          <w:color w:val="1F4E78"/>
          <w:sz w:val="22"/>
        </w:rPr>
        <w:t>Total Existing Units:</w:t>
      </w:r>
      <w:r>
        <w:rPr>
          <w:color w:val="333333"/>
          <w:sz w:val="22"/>
        </w:rPr>
        <w:t xml:space="preserve"> 85</w:t>
      </w:r>
    </w:p>
    <w:p>
      <w:pPr>
        <w:pStyle w:val="ListBullet"/>
        <w:ind w:left="720"/>
      </w:pPr>
      <w:r>
        <w:rPr>
          <w:b/>
          <w:color w:val="1F4E78"/>
          <w:sz w:val="22"/>
        </w:rPr>
        <w:t>Currently Occupied Units:</w:t>
      </w:r>
      <w:r>
        <w:rPr>
          <w:color w:val="333333"/>
          <w:sz w:val="22"/>
        </w:rPr>
        <w:t xml:space="preserve"> 78</w:t>
      </w:r>
    </w:p>
    <w:p>
      <w:pPr>
        <w:pStyle w:val="ListBullet"/>
        <w:ind w:left="720"/>
      </w:pPr>
      <w:r>
        <w:rPr>
          <w:b/>
          <w:color w:val="1F4E78"/>
          <w:sz w:val="22"/>
        </w:rPr>
        <w:t>Vacant Units:</w:t>
      </w:r>
      <w:r>
        <w:rPr>
          <w:color w:val="333333"/>
          <w:sz w:val="22"/>
        </w:rPr>
        <w:t xml:space="preserve"> 7</w:t>
      </w:r>
    </w:p>
    <w:p>
      <w:pPr>
        <w:pStyle w:val="ListBullet"/>
        <w:ind w:left="720"/>
      </w:pPr>
      <w:r>
        <w:rPr>
          <w:b/>
          <w:color w:val="1F4E78"/>
          <w:sz w:val="22"/>
        </w:rPr>
        <w:t>Estimated Households:</w:t>
      </w:r>
      <w:r>
        <w:rPr>
          <w:color w:val="333333"/>
          <w:sz w:val="22"/>
        </w:rPr>
        <w:t xml:space="preserve"> 78 distinct households.</w:t>
      </w:r>
    </w:p>
    <w:p>
      <w:pPr>
        <w:pStyle w:val="ListBullet"/>
        <w:ind w:left="720"/>
      </w:pPr>
      <w:r>
        <w:rPr>
          <w:b/>
          <w:color w:val="1F4E78"/>
          <w:sz w:val="22"/>
        </w:rPr>
        <w:t>Estimated Individuals:</w:t>
      </w:r>
      <w:r>
        <w:rPr>
          <w:color w:val="333333"/>
          <w:sz w:val="22"/>
        </w:rPr>
        <w:t xml:space="preserve"> 145 individuals (based on an average of 1.86 persons per occupied unit).</w:t>
      </w:r>
    </w:p>
    <w:p>
      <w:r>
        <w:rPr>
          <w:b/>
          <w:color w:val="1F4E78"/>
          <w:sz w:val="22"/>
        </w:rPr>
        <w:t>4.2 Tenant Demographics &amp; Needs Assessment:</w:t>
      </w:r>
    </w:p>
    <w:p>
      <w:r>
        <w:rPr>
          <w:color w:val="333333"/>
          <w:sz w:val="22"/>
        </w:rPr>
        <w:t>A preliminary assessment indicates a diverse tenant population, including:</w:t>
      </w:r>
    </w:p>
    <w:p>
      <w:pPr>
        <w:pStyle w:val="ListBullet"/>
        <w:ind w:left="720"/>
      </w:pPr>
      <w:r>
        <w:rPr>
          <w:color w:val="333333"/>
          <w:sz w:val="22"/>
        </w:rPr>
        <w:t>Approximately 25% senior households (65+ years old).</w:t>
      </w:r>
    </w:p>
    <w:p>
      <w:pPr>
        <w:pStyle w:val="ListBullet"/>
        <w:ind w:left="720"/>
      </w:pPr>
      <w:r>
        <w:rPr>
          <w:color w:val="333333"/>
          <w:sz w:val="22"/>
        </w:rPr>
        <w:t>Approximately 35% households with minor children.</w:t>
      </w:r>
    </w:p>
    <w:p>
      <w:pPr>
        <w:pStyle w:val="ListBullet"/>
        <w:ind w:left="720"/>
      </w:pPr>
      <w:r>
        <w:rPr>
          <w:color w:val="333333"/>
          <w:sz w:val="22"/>
        </w:rPr>
        <w:t>A notable percentage of residents with limited English proficiency (LEP), primarily Spanish-speaking.</w:t>
      </w:r>
    </w:p>
    <w:p>
      <w:pPr>
        <w:pStyle w:val="ListBullet"/>
        <w:ind w:left="720"/>
      </w:pPr>
      <w:r>
        <w:rPr>
          <w:color w:val="333333"/>
          <w:sz w:val="22"/>
        </w:rPr>
        <w:t>Several individuals identified as having mobility impairments or other disabilities requiring specific accommodations.</w:t>
      </w:r>
    </w:p>
    <w:p>
      <w:r>
        <w:rPr>
          <w:color w:val="333333"/>
          <w:sz w:val="22"/>
        </w:rPr>
        <w:t>This diversity necessitates a highly individualized approach to relocation assistance, ensuring equitable treatment and appropriate support tailored to specific needs.</w:t>
      </w:r>
    </w:p>
    <w:p>
      <w:pPr>
        <w:pStyle w:val="Heading3"/>
      </w:pPr>
      <w:r>
        <w:rPr>
          <w:color w:val="2E75B6"/>
          <w:sz w:val="26"/>
        </w:rPr>
        <w:t>5.0 Relocation Process and Timeline</w:t>
      </w:r>
    </w:p>
    <w:p>
      <w:r>
        <w:rPr>
          <w:color w:val="333333"/>
          <w:sz w:val="22"/>
        </w:rPr>
        <w:t>The relocation process is structured into three distinct phases, designed to be executed systematically and empathetically.</w:t>
      </w:r>
    </w:p>
    <w:p>
      <w:r>
        <w:rPr>
          <w:b/>
          <w:color w:val="1F4E78"/>
          <w:sz w:val="22"/>
        </w:rPr>
        <w:t>5.1 Phase 1: Initial Notification &amp; Information Dissemination (Q4 2023)</w:t>
      </w:r>
    </w:p>
    <w:p>
      <w:pPr>
        <w:pStyle w:val="ListBullet"/>
        <w:ind w:left="720"/>
      </w:pPr>
      <w:r>
        <w:rPr>
          <w:b/>
          <w:color w:val="1F4E78"/>
          <w:sz w:val="22"/>
        </w:rPr>
        <w:t>Notice of Intent to Develop &amp; Relocate:</w:t>
      </w:r>
      <w:r>
        <w:rPr>
          <w:color w:val="333333"/>
          <w:sz w:val="22"/>
        </w:rPr>
        <w:t xml:space="preserve"> On or before </w:t>
      </w:r>
      <w:r>
        <w:rPr>
          <w:b/>
          <w:color w:val="1F4E78"/>
          <w:sz w:val="22"/>
        </w:rPr>
        <w:t>November 15, 2023</w:t>
      </w:r>
      <w:r>
        <w:rPr>
          <w:color w:val="333333"/>
          <w:sz w:val="22"/>
        </w:rPr>
        <w:t>, a formal written Notice of Intent to Develop and Relocate shall be hand-delivered to each occupied unit and affixed to the main entrance of each building. This notice will state the developer's intent, the project's necessity, and the approximate timeline for displacement. It will explicitly inform tenants of their rights under state and local laws, and the availability of relocation assistance. The notice shall be provided in English and Spanish, with provisions for other language translations upon request.</w:t>
      </w:r>
    </w:p>
    <w:p>
      <w:pPr>
        <w:pStyle w:val="ListBullet"/>
        <w:ind w:left="720"/>
      </w:pPr>
      <w:r>
        <w:rPr>
          <w:b/>
          <w:color w:val="1F4E78"/>
          <w:sz w:val="22"/>
        </w:rPr>
        <w:t>Tenant Relocation Information Packet:</w:t>
      </w:r>
      <w:r>
        <w:rPr>
          <w:color w:val="333333"/>
          <w:sz w:val="22"/>
        </w:rPr>
        <w:t xml:space="preserve"> Concurrently with the Notice of Intent, each household shall receive a comprehensive packet containing:</w:t>
      </w:r>
    </w:p>
    <w:p>
      <w:pPr>
        <w:pStyle w:val="ListBullet"/>
        <w:ind w:left="1080"/>
      </w:pPr>
      <w:r>
        <w:rPr>
          <w:color w:val="333333"/>
          <w:sz w:val="22"/>
        </w:rPr>
        <w:t>A detailed summary of their rights under STPO Chapter 4.12.030.</w:t>
      </w:r>
    </w:p>
    <w:p>
      <w:pPr>
        <w:pStyle w:val="ListBullet"/>
        <w:ind w:left="1080"/>
      </w:pPr>
      <w:r>
        <w:rPr>
          <w:color w:val="333333"/>
          <w:sz w:val="22"/>
        </w:rPr>
        <w:t>An explanation of available relocation assistance payments (RAP) and eligibility criteria.</w:t>
      </w:r>
    </w:p>
    <w:p>
      <w:pPr>
        <w:pStyle w:val="ListBullet"/>
        <w:ind w:left="1080"/>
      </w:pPr>
      <w:r>
        <w:rPr>
          <w:color w:val="333333"/>
          <w:sz w:val="22"/>
        </w:rPr>
        <w:t>Information regarding re-housing assistance services.</w:t>
      </w:r>
    </w:p>
    <w:p>
      <w:pPr>
        <w:pStyle w:val="ListBullet"/>
        <w:ind w:left="1080"/>
      </w:pPr>
      <w:r>
        <w:rPr>
          <w:color w:val="333333"/>
          <w:sz w:val="22"/>
        </w:rPr>
        <w:t>Contact details for the dedicated Relocation Officer and external legal aid resources.</w:t>
      </w:r>
    </w:p>
    <w:p>
      <w:pPr>
        <w:pStyle w:val="ListBullet"/>
        <w:ind w:left="1080"/>
      </w:pPr>
      <w:r>
        <w:rPr>
          <w:color w:val="333333"/>
          <w:sz w:val="22"/>
        </w:rPr>
        <w:t>A Tenant Relocation Survey to identify specific needs, including accessibility requirements, language preferences, and household size.</w:t>
      </w:r>
    </w:p>
    <w:p>
      <w:pPr>
        <w:pStyle w:val="ListBullet"/>
        <w:ind w:left="720"/>
      </w:pPr>
      <w:r>
        <w:rPr>
          <w:b/>
          <w:color w:val="1F4E78"/>
          <w:sz w:val="22"/>
        </w:rPr>
        <w:t>Individualized Consultations:</w:t>
      </w:r>
      <w:r>
        <w:rPr>
          <w:color w:val="333333"/>
          <w:sz w:val="22"/>
        </w:rPr>
        <w:t xml:space="preserve"> Commencing </w:t>
      </w:r>
      <w:r>
        <w:rPr>
          <w:b/>
          <w:color w:val="1F4E78"/>
          <w:sz w:val="22"/>
        </w:rPr>
        <w:t>November 20, 2023</w:t>
      </w:r>
      <w:r>
        <w:rPr>
          <w:color w:val="333333"/>
          <w:sz w:val="22"/>
        </w:rPr>
        <w:t>, the Relocation Officer and trained staff will offer one-on-one consultations to each household to clarify the process, answer questions, and initiate the needs assessment.</w:t>
      </w:r>
    </w:p>
    <w:p>
      <w:r>
        <w:rPr>
          <w:b/>
          <w:color w:val="1F4E78"/>
          <w:sz w:val="22"/>
        </w:rPr>
        <w:t>5.2 Phase 2: Relocation Planning &amp; Assistance (Q1-Q2 2024)</w:t>
      </w:r>
    </w:p>
    <w:p>
      <w:pPr>
        <w:pStyle w:val="ListBullet"/>
        <w:ind w:left="720"/>
      </w:pPr>
      <w:r>
        <w:rPr>
          <w:b/>
          <w:color w:val="1F4E78"/>
          <w:sz w:val="22"/>
        </w:rPr>
        <w:t>Official Notice to Vacate:</w:t>
      </w:r>
      <w:r>
        <w:rPr>
          <w:color w:val="333333"/>
          <w:sz w:val="22"/>
        </w:rPr>
        <w:t xml:space="preserve"> A formal </w:t>
      </w:r>
      <w:r>
        <w:rPr>
          <w:b/>
          <w:color w:val="1F4E78"/>
          <w:sz w:val="22"/>
        </w:rPr>
        <w:t>120-day Notice to Vacate</w:t>
      </w:r>
      <w:r>
        <w:rPr>
          <w:color w:val="333333"/>
          <w:sz w:val="22"/>
        </w:rPr>
        <w:t xml:space="preserve"> shall be issued no later than </w:t>
      </w:r>
      <w:r>
        <w:rPr>
          <w:b/>
          <w:color w:val="1F4E78"/>
          <w:sz w:val="22"/>
        </w:rPr>
        <w:t>January 15, 2024</w:t>
      </w:r>
      <w:r>
        <w:rPr>
          <w:color w:val="333333"/>
          <w:sz w:val="22"/>
        </w:rPr>
        <w:t xml:space="preserve">, specifying a vacate date of </w:t>
      </w:r>
      <w:r>
        <w:rPr>
          <w:b/>
          <w:color w:val="1F4E78"/>
          <w:sz w:val="22"/>
        </w:rPr>
        <w:t>May 15, 2024</w:t>
      </w:r>
      <w:r>
        <w:rPr>
          <w:color w:val="333333"/>
          <w:sz w:val="22"/>
        </w:rPr>
        <w:t>. This notice will reiterate the right to relocation assistance and comparable housing.</w:t>
      </w:r>
    </w:p>
    <w:p>
      <w:pPr>
        <w:pStyle w:val="ListBullet"/>
        <w:ind w:left="720"/>
      </w:pPr>
      <w:r>
        <w:rPr>
          <w:b/>
          <w:color w:val="1F4E78"/>
          <w:sz w:val="22"/>
        </w:rPr>
        <w:t>Housing Search Assistance:</w:t>
      </w:r>
    </w:p>
    <w:p>
      <w:pPr>
        <w:pStyle w:val="ListBullet"/>
        <w:ind w:left="1080"/>
      </w:pPr>
      <w:r>
        <w:rPr>
          <w:color w:val="333333"/>
          <w:sz w:val="22"/>
        </w:rPr>
        <w:t>The Relocation Officer will maintain an updated inventory of available, decent, safe, and sanitary comparable replacement dwellings within the Springfield metropolitan area, considering rent, size, location, and accessibility needs. This inventory will be provided weekly to all displaced households.</w:t>
      </w:r>
    </w:p>
    <w:p>
      <w:pPr>
        <w:pStyle w:val="ListBullet"/>
        <w:ind w:left="1080"/>
      </w:pPr>
      <w:r>
        <w:rPr>
          <w:color w:val="333333"/>
          <w:sz w:val="22"/>
        </w:rPr>
        <w:t>Assistance with application processes, coordination of property viewings, and transportation to prospective housing will be provided.</w:t>
      </w:r>
    </w:p>
    <w:p>
      <w:pPr>
        <w:pStyle w:val="ListBullet"/>
        <w:ind w:left="1080"/>
      </w:pPr>
      <w:r>
        <w:rPr>
          <w:color w:val="333333"/>
          <w:sz w:val="22"/>
        </w:rPr>
        <w:t>Referrals to housing counseling agencies and tenant advocacy groups will be offered.</w:t>
      </w:r>
    </w:p>
    <w:p>
      <w:pPr>
        <w:pStyle w:val="ListBullet"/>
        <w:ind w:left="720"/>
      </w:pPr>
      <w:r>
        <w:rPr>
          <w:b/>
          <w:color w:val="1F4E78"/>
          <w:sz w:val="22"/>
        </w:rPr>
        <w:t>Financial Assistance (Relocation Assistance Payments - RAP):</w:t>
      </w:r>
      <w:r>
        <w:rPr>
          <w:color w:val="333333"/>
          <w:sz w:val="22"/>
        </w:rPr>
        <w:t xml:space="preserve"> Payments will be calculated and disbursed in strict accordance with STPO Chapter 4.12.030, Section C.</w:t>
      </w:r>
    </w:p>
    <w:p>
      <w:pPr>
        <w:pStyle w:val="ListBullet"/>
        <w:ind w:left="1080"/>
      </w:pPr>
      <w:r>
        <w:rPr>
          <w:b/>
          <w:color w:val="1F4E78"/>
          <w:sz w:val="22"/>
        </w:rPr>
        <w:t>Moving Cost Payments:</w:t>
      </w:r>
      <w:r>
        <w:rPr>
          <w:color w:val="333333"/>
          <w:sz w:val="22"/>
        </w:rPr>
        <w:t xml:space="preserve"> Tenants shall be offered the option of either actual, reasonable moving expenses (professional mover, packing, utility dis/re-connection) or a fixed payment schedule based on the number of rooms, as stipulated by local guidelines. This payment will be disbursed directly to the moving company or the tenant upon submission of itemized receipts.</w:t>
      </w:r>
    </w:p>
    <w:p>
      <w:pPr>
        <w:pStyle w:val="ListBullet"/>
        <w:ind w:left="1080"/>
      </w:pPr>
      <w:r>
        <w:rPr>
          <w:b/>
          <w:color w:val="1F4E78"/>
          <w:sz w:val="22"/>
        </w:rPr>
        <w:t>Rental Differential Payments:</w:t>
      </w:r>
      <w:r>
        <w:rPr>
          <w:color w:val="333333"/>
          <w:sz w:val="22"/>
        </w:rPr>
        <w:t xml:space="preserve"> For eligible tenants, a rental differential payment shall be calculated. This payment bridges the gap between the tenant’s current rent and the rent of a comparable replacement dwelling for a period of </w:t>
      </w:r>
      <w:r>
        <w:rPr>
          <w:b/>
          <w:color w:val="1F4E78"/>
          <w:sz w:val="22"/>
        </w:rPr>
        <w:t>42 months</w:t>
      </w:r>
      <w:r>
        <w:rPr>
          <w:color w:val="333333"/>
          <w:sz w:val="22"/>
        </w:rPr>
        <w:t>, or until the tenant secures subsidized housing, whichever occurs first. The maximum payment will be capped at the difference between current rent and the 95th percentile of market rents for comparable units in the relevant submarket, as determined by an independent market study conducted in Q4 2023.</w:t>
      </w:r>
    </w:p>
    <w:p>
      <w:pPr>
        <w:pStyle w:val="ListBullet"/>
        <w:ind w:left="1080"/>
      </w:pPr>
      <w:r>
        <w:rPr>
          <w:b/>
          <w:color w:val="1F4E78"/>
          <w:sz w:val="22"/>
        </w:rPr>
        <w:t>Security Deposit/Utility Deposit Assistance:</w:t>
      </w:r>
      <w:r>
        <w:rPr>
          <w:color w:val="333333"/>
          <w:sz w:val="22"/>
        </w:rPr>
        <w:t xml:space="preserve"> Evergreen Development Group LLC will cover reasonable security and utility deposits for the comparable replacement dwelling, up to a maximum of two months' rent for security and $500 for utilities, offset by the return of the tenant’s original security deposit from Main Street Residences, per state law.</w:t>
      </w:r>
    </w:p>
    <w:p>
      <w:pPr>
        <w:pStyle w:val="ListBullet"/>
        <w:ind w:left="1080"/>
      </w:pPr>
      <w:r>
        <w:rPr>
          <w:b/>
          <w:color w:val="1F4E78"/>
          <w:sz w:val="22"/>
        </w:rPr>
        <w:t>Incidental Expenses:</w:t>
      </w:r>
      <w:r>
        <w:rPr>
          <w:color w:val="333333"/>
          <w:sz w:val="22"/>
        </w:rPr>
        <w:t xml:space="preserve"> Reimbursement for reasonable and necessary incidental expenses incurred in relocating, such as new school enrollment fees, utility transfer fees, and lost wages due to moving, up to a pre-approved limit of $750 per household.</w:t>
      </w:r>
    </w:p>
    <w:p>
      <w:pPr>
        <w:pStyle w:val="ListBullet"/>
        <w:ind w:left="720"/>
      </w:pPr>
      <w:r>
        <w:rPr>
          <w:b/>
          <w:color w:val="1F4E78"/>
          <w:sz w:val="22"/>
        </w:rPr>
        <w:t>Special Needs Accommodations:</w:t>
      </w:r>
      <w:r>
        <w:rPr>
          <w:color w:val="333333"/>
          <w:sz w:val="22"/>
        </w:rPr>
        <w:t xml:space="preserve"> For elderly, disabled, or LEP tenants, additional assistance will include:</w:t>
      </w:r>
    </w:p>
    <w:p>
      <w:pPr>
        <w:pStyle w:val="ListBullet"/>
        <w:ind w:left="1080"/>
      </w:pPr>
      <w:r>
        <w:rPr>
          <w:color w:val="333333"/>
          <w:sz w:val="22"/>
        </w:rPr>
        <w:t>Direct coordination with social services agencies.</w:t>
      </w:r>
    </w:p>
    <w:p>
      <w:pPr>
        <w:pStyle w:val="ListBullet"/>
        <w:ind w:left="1080"/>
      </w:pPr>
      <w:r>
        <w:rPr>
          <w:color w:val="333333"/>
          <w:sz w:val="22"/>
        </w:rPr>
        <w:t>Provision of accessible transportation for housing searches and moving.</w:t>
      </w:r>
    </w:p>
    <w:p>
      <w:pPr>
        <w:pStyle w:val="ListBullet"/>
        <w:ind w:left="1080"/>
      </w:pPr>
      <w:r>
        <w:rPr>
          <w:color w:val="333333"/>
          <w:sz w:val="22"/>
        </w:rPr>
        <w:t>Interpretation services during all official communications and consultations.</w:t>
      </w:r>
    </w:p>
    <w:p>
      <w:pPr>
        <w:pStyle w:val="ListBullet"/>
        <w:ind w:left="1080"/>
      </w:pPr>
      <w:r>
        <w:rPr>
          <w:color w:val="333333"/>
          <w:sz w:val="22"/>
        </w:rPr>
        <w:t>Assistance with transferring medical services and community support networks.</w:t>
      </w:r>
    </w:p>
    <w:p>
      <w:r>
        <w:rPr>
          <w:b/>
          <w:color w:val="1F4E78"/>
          <w:sz w:val="22"/>
        </w:rPr>
        <w:t>5.3 Phase 3: Relocation Execution &amp; Post-Relocation Follow-up (Q2-Q3 2024)</w:t>
      </w:r>
    </w:p>
    <w:p>
      <w:pPr>
        <w:pStyle w:val="ListBullet"/>
        <w:ind w:left="720"/>
      </w:pPr>
      <w:r>
        <w:rPr>
          <w:b/>
          <w:color w:val="1F4E78"/>
          <w:sz w:val="22"/>
        </w:rPr>
        <w:t>Move Coordination:</w:t>
      </w:r>
      <w:r>
        <w:rPr>
          <w:color w:val="333333"/>
          <w:sz w:val="22"/>
        </w:rPr>
        <w:t xml:space="preserve"> Professional moving services will be arranged and paid for by Evergreen Development Group LLC for all tenants requesting such assistance, ensuring careful handling of personal belongings and adherence to scheduled move dates.</w:t>
      </w:r>
    </w:p>
    <w:p>
      <w:pPr>
        <w:pStyle w:val="ListBullet"/>
        <w:ind w:left="720"/>
      </w:pPr>
      <w:r>
        <w:rPr>
          <w:b/>
          <w:color w:val="1F4E78"/>
          <w:sz w:val="22"/>
        </w:rPr>
        <w:t>Final Inspection &amp; Security Deposit Return:</w:t>
      </w:r>
      <w:r>
        <w:rPr>
          <w:color w:val="333333"/>
          <w:sz w:val="22"/>
        </w:rPr>
        <w:t xml:space="preserve"> Upon vacation, units will be inspected for damage beyond normal wear and tear. Security deposits from Main Street Residences will be returned within the statutory 14-day period, less any legitimate deductions as per the State of Anystate Landlord-Tenant Act.</w:t>
      </w:r>
    </w:p>
    <w:p>
      <w:pPr>
        <w:pStyle w:val="ListBullet"/>
        <w:ind w:left="720"/>
      </w:pPr>
      <w:r>
        <w:rPr>
          <w:b/>
          <w:color w:val="1F4E78"/>
          <w:sz w:val="22"/>
        </w:rPr>
        <w:t>Post-Relocation Follow-up:</w:t>
      </w:r>
      <w:r>
        <w:rPr>
          <w:color w:val="333333"/>
          <w:sz w:val="22"/>
        </w:rPr>
        <w:t xml:space="preserve"> The Relocation Officer will conduct follow-up calls or visits with each relocated household within 30 days of their move to ensure a smooth transition and address any lingering issues.</w:t>
      </w:r>
    </w:p>
    <w:p>
      <w:pPr>
        <w:pStyle w:val="Heading3"/>
      </w:pPr>
      <w:r>
        <w:rPr>
          <w:color w:val="2E75B6"/>
          <w:sz w:val="26"/>
        </w:rPr>
        <w:t>6.0 Financial Projections and Budget</w:t>
      </w:r>
    </w:p>
    <w:p>
      <w:r>
        <w:rPr>
          <w:color w:val="333333"/>
          <w:sz w:val="22"/>
        </w:rPr>
        <w:t>The effective execution of this Plan requires a dedicated and robust financial allocation, integrated into the overall $65,000,000 project budget.</w:t>
      </w:r>
    </w:p>
    <w:p>
      <w:r>
        <w:rPr>
          <w:b/>
          <w:color w:val="1F4E78"/>
          <w:sz w:val="22"/>
        </w:rPr>
        <w:t>6.1 Estimated Relocation Costs:</w:t>
      </w:r>
    </w:p>
    <w:p>
      <w:r>
        <w:rPr>
          <w:color w:val="333333"/>
          <w:sz w:val="22"/>
        </w:rPr>
        <w:t xml:space="preserve">Based on the current occupancy data, market rent analysis, and STPO Chapter 4.12.030 requirements, the total estimated cost for tenant relocation assistance for the 78 occupied units is projected between </w:t>
      </w:r>
      <w:r>
        <w:rPr>
          <w:b/>
          <w:color w:val="1F4E78"/>
          <w:sz w:val="22"/>
        </w:rPr>
        <w:t>$950,000 to $1,300,000</w:t>
      </w:r>
      <w:r>
        <w:rPr>
          <w:color w:val="333333"/>
          <w:sz w:val="22"/>
        </w:rPr>
        <w:t>.</w:t>
      </w:r>
    </w:p>
    <w:p>
      <w:r>
        <w:rPr>
          <w:b/>
          <w:color w:val="1F4E78"/>
          <w:sz w:val="22"/>
        </w:rPr>
        <w:t>6.2 Budget Breakdown:</w:t>
      </w:r>
    </w:p>
    <w:p>
      <w:pPr>
        <w:pStyle w:val="ListBullet"/>
        <w:ind w:left="720"/>
      </w:pPr>
      <w:r>
        <w:rPr>
          <w:b/>
          <w:color w:val="1F4E78"/>
          <w:sz w:val="22"/>
        </w:rPr>
        <w:t>Direct Moving Expenses:</w:t>
      </w:r>
      <w:r>
        <w:rPr>
          <w:color w:val="333333"/>
          <w:sz w:val="22"/>
        </w:rPr>
        <w:t xml:space="preserve"> $150,000 - $250,000 (Average $2,000 - $3,000 per unit, depending on size/complexity).</w:t>
      </w:r>
    </w:p>
    <w:p>
      <w:pPr>
        <w:pStyle w:val="ListBullet"/>
        <w:ind w:left="720"/>
      </w:pPr>
      <w:r>
        <w:rPr>
          <w:b/>
          <w:color w:val="1F4E78"/>
          <w:sz w:val="22"/>
        </w:rPr>
        <w:t>Rental Differential Payments:</w:t>
      </w:r>
      <w:r>
        <w:rPr>
          <w:color w:val="333333"/>
          <w:sz w:val="22"/>
        </w:rPr>
        <w:t xml:space="preserve"> $550,000 - $750,000 (Based on 42-month differential for an estimated 60% of households, average $150-$250/month differential).</w:t>
      </w:r>
    </w:p>
    <w:p>
      <w:pPr>
        <w:pStyle w:val="ListBullet"/>
        <w:ind w:left="720"/>
      </w:pPr>
      <w:r>
        <w:rPr>
          <w:b/>
          <w:color w:val="1F4E78"/>
          <w:sz w:val="22"/>
        </w:rPr>
        <w:t>Security &amp; Utility Deposit Assistance:</w:t>
      </w:r>
      <w:r>
        <w:rPr>
          <w:color w:val="333333"/>
          <w:sz w:val="22"/>
        </w:rPr>
        <w:t xml:space="preserve"> $80,000 - $120,000.</w:t>
      </w:r>
    </w:p>
    <w:p>
      <w:pPr>
        <w:pStyle w:val="ListBullet"/>
        <w:ind w:left="720"/>
      </w:pPr>
      <w:r>
        <w:rPr>
          <w:b/>
          <w:color w:val="1F4E78"/>
          <w:sz w:val="22"/>
        </w:rPr>
        <w:t>Incidental Expenses Reimbursement:</w:t>
      </w:r>
      <w:r>
        <w:rPr>
          <w:color w:val="333333"/>
          <w:sz w:val="22"/>
        </w:rPr>
        <w:t xml:space="preserve"> $20,000 - $40,000.</w:t>
      </w:r>
    </w:p>
    <w:p>
      <w:pPr>
        <w:pStyle w:val="ListBullet"/>
        <w:ind w:left="720"/>
      </w:pPr>
      <w:r>
        <w:rPr>
          <w:b/>
          <w:color w:val="1F4E78"/>
          <w:sz w:val="22"/>
        </w:rPr>
        <w:t>Administrative &amp; Staffing Costs:</w:t>
      </w:r>
      <w:r>
        <w:rPr>
          <w:color w:val="333333"/>
          <w:sz w:val="22"/>
        </w:rPr>
        <w:t xml:space="preserve"> $100,000 - $120,000 (Includes Relocation Officer salary, legal counsel, translation services, marketing materials, and temporary office setup).</w:t>
      </w:r>
    </w:p>
    <w:p>
      <w:pPr>
        <w:pStyle w:val="ListBullet"/>
        <w:ind w:left="720"/>
      </w:pPr>
      <w:r>
        <w:rPr>
          <w:b/>
          <w:color w:val="1F4E78"/>
          <w:sz w:val="22"/>
        </w:rPr>
        <w:t>Contingency (15% of direct costs):</w:t>
      </w:r>
      <w:r>
        <w:rPr>
          <w:color w:val="333333"/>
          <w:sz w:val="22"/>
        </w:rPr>
        <w:t xml:space="preserve"> $50,000 - $80,000.</w:t>
      </w:r>
    </w:p>
    <w:p>
      <w:r>
        <w:rPr>
          <w:b/>
          <w:color w:val="1F4E78"/>
          <w:sz w:val="22"/>
        </w:rPr>
        <w:t>6.3 Funding Mechanism:</w:t>
      </w:r>
    </w:p>
    <w:p>
      <w:r>
        <w:rPr>
          <w:color w:val="333333"/>
          <w:sz w:val="22"/>
        </w:rPr>
        <w:t>These relocation costs are fully incorporated into the project's pre-development budget, funded directly by Evergreen Development Group LLC’s equity capital and accounted for within the overall $65M project financing structure. These funds are segregated and earmarked solely for relocation assistance.</w:t>
      </w:r>
    </w:p>
    <w:p>
      <w:pPr>
        <w:pStyle w:val="Heading3"/>
      </w:pPr>
      <w:r>
        <w:rPr>
          <w:color w:val="2E75B6"/>
          <w:sz w:val="26"/>
        </w:rPr>
        <w:t>7.0 Risk Mitigation and Contingency Planning</w:t>
      </w:r>
    </w:p>
    <w:p>
      <w:r>
        <w:rPr>
          <w:b/>
          <w:color w:val="1F4E78"/>
          <w:sz w:val="22"/>
        </w:rPr>
        <w:t>7.1 Non-Compliance Risk:</w:t>
      </w:r>
    </w:p>
    <w:p>
      <w:pPr>
        <w:pStyle w:val="ListBullet"/>
        <w:ind w:left="720"/>
      </w:pPr>
      <w:r>
        <w:rPr>
          <w:b/>
          <w:color w:val="1F4E78"/>
          <w:sz w:val="22"/>
        </w:rPr>
        <w:t>Mitigation:</w:t>
      </w:r>
      <w:r>
        <w:rPr>
          <w:color w:val="333333"/>
          <w:sz w:val="22"/>
        </w:rPr>
        <w:t xml:space="preserve"> Continuous legal review of all processes, documentation, and communications by specialized external counsel. Regular internal audits of compliance metrics. Dedicated Relocation Officer to ensure strict adherence to statutory requirements.</w:t>
      </w:r>
    </w:p>
    <w:p>
      <w:pPr>
        <w:pStyle w:val="ListBullet"/>
        <w:ind w:left="720"/>
      </w:pPr>
      <w:r>
        <w:rPr>
          <w:b/>
          <w:color w:val="1F4E78"/>
          <w:sz w:val="22"/>
        </w:rPr>
        <w:t>Contingency:</w:t>
      </w:r>
      <w:r>
        <w:rPr>
          <w:color w:val="333333"/>
          <w:sz w:val="22"/>
        </w:rPr>
        <w:t xml:space="preserve"> Immediate corrective action plans for any identified non-compliance issues. Willingness to engage in mediation or arbitration to resolve disputes expediently.</w:t>
      </w:r>
    </w:p>
    <w:p>
      <w:r>
        <w:rPr>
          <w:b/>
          <w:color w:val="1F4E78"/>
          <w:sz w:val="22"/>
        </w:rPr>
        <w:t>7.2 Tenant Non-Cooperation/Holdovers:</w:t>
      </w:r>
    </w:p>
    <w:p>
      <w:pPr>
        <w:pStyle w:val="ListBullet"/>
        <w:ind w:left="720"/>
      </w:pPr>
      <w:r>
        <w:rPr>
          <w:b/>
          <w:color w:val="1F4E78"/>
          <w:sz w:val="22"/>
        </w:rPr>
        <w:t>Mitigation:</w:t>
      </w:r>
      <w:r>
        <w:rPr>
          <w:color w:val="333333"/>
          <w:sz w:val="22"/>
        </w:rPr>
        <w:t xml:space="preserve"> Proactive communication, extensive support services, and generous financial assistance designed to incentivize voluntary and timely relocation. Early identification of at-risk households through surveys and individualized consultations.</w:t>
      </w:r>
    </w:p>
    <w:p>
      <w:pPr>
        <w:pStyle w:val="ListBullet"/>
        <w:ind w:left="720"/>
      </w:pPr>
      <w:r>
        <w:rPr>
          <w:b/>
          <w:color w:val="1F4E78"/>
          <w:sz w:val="22"/>
        </w:rPr>
        <w:t>Contingency:</w:t>
      </w:r>
      <w:r>
        <w:rPr>
          <w:color w:val="333333"/>
          <w:sz w:val="22"/>
        </w:rPr>
        <w:t xml:space="preserve"> For instances of egregious non-cooperation after exhaustion of all assistance efforts and within legal parameters, Evergreen Development Group LLC reserves the right to initiate unlawful detainer proceedings as a final recourse, strictly adhering to all legal due process requirements and applicable notice periods. Legal counsel will manage any such proceedings.</w:t>
      </w:r>
    </w:p>
    <w:p>
      <w:r>
        <w:rPr>
          <w:b/>
          <w:color w:val="1F4E78"/>
          <w:sz w:val="22"/>
        </w:rPr>
        <w:t>7.3 Unforeseen Expenses &amp; Market Fluctuations:</w:t>
      </w:r>
    </w:p>
    <w:p>
      <w:pPr>
        <w:pStyle w:val="ListBullet"/>
        <w:ind w:left="720"/>
      </w:pPr>
      <w:r>
        <w:rPr>
          <w:b/>
          <w:color w:val="1F4E78"/>
          <w:sz w:val="22"/>
        </w:rPr>
        <w:t>Mitigation:</w:t>
      </w:r>
      <w:r>
        <w:rPr>
          <w:color w:val="333333"/>
          <w:sz w:val="22"/>
        </w:rPr>
        <w:t xml:space="preserve"> Robust contingency budget allocation. Ongoing monitoring of local housing market conditions and rent trends to adjust financial assistance estimates as needed.</w:t>
      </w:r>
    </w:p>
    <w:p>
      <w:pPr>
        <w:pStyle w:val="ListBullet"/>
        <w:ind w:left="720"/>
      </w:pPr>
      <w:r>
        <w:rPr>
          <w:b/>
          <w:color w:val="1F4E78"/>
          <w:sz w:val="22"/>
        </w:rPr>
        <w:t>Contingency:</w:t>
      </w:r>
      <w:r>
        <w:rPr>
          <w:color w:val="333333"/>
          <w:sz w:val="22"/>
        </w:rPr>
        <w:t xml:space="preserve"> Project financing structure includes buffer capacity to absorb reasonable cost overruns directly related to mandated relocation assistance.</w:t>
      </w:r>
    </w:p>
    <w:p>
      <w:r>
        <w:rPr>
          <w:b/>
          <w:color w:val="1F4E78"/>
          <w:sz w:val="22"/>
        </w:rPr>
        <w:t>7.4 Reputational Damage:</w:t>
      </w:r>
    </w:p>
    <w:p>
      <w:pPr>
        <w:pStyle w:val="ListBullet"/>
        <w:ind w:left="720"/>
      </w:pPr>
      <w:r>
        <w:rPr>
          <w:b/>
          <w:color w:val="1F4E78"/>
          <w:sz w:val="22"/>
        </w:rPr>
        <w:t>Mitigation:</w:t>
      </w:r>
      <w:r>
        <w:rPr>
          <w:color w:val="333333"/>
          <w:sz w:val="22"/>
        </w:rPr>
        <w:t xml:space="preserve"> Commitment to transparency, empathy, and exceeding legal minimums. Active engagement with community leaders and stakeholders. Professional and respectful conduct from all Evergreen Development Group LLC representatives.</w:t>
      </w:r>
    </w:p>
    <w:p>
      <w:pPr>
        <w:pStyle w:val="ListBullet"/>
        <w:ind w:left="720"/>
      </w:pPr>
      <w:r>
        <w:rPr>
          <w:b/>
          <w:color w:val="1F4E78"/>
          <w:sz w:val="22"/>
        </w:rPr>
        <w:t>Contingency:</w:t>
      </w:r>
      <w:r>
        <w:rPr>
          <w:color w:val="333333"/>
          <w:sz w:val="22"/>
        </w:rPr>
        <w:t xml:space="preserve"> Strategic public relations management and clear communication to address any potential negative narratives by demonstrating unwavering commitment to tenant welfare.</w:t>
      </w:r>
    </w:p>
    <w:p>
      <w:pPr>
        <w:pStyle w:val="Heading3"/>
      </w:pPr>
      <w:r>
        <w:rPr>
          <w:color w:val="2E75B6"/>
          <w:sz w:val="26"/>
        </w:rPr>
        <w:t>8.0 Management and Oversight</w:t>
      </w:r>
    </w:p>
    <w:p>
      <w:r>
        <w:rPr>
          <w:b/>
          <w:color w:val="1F4E78"/>
          <w:sz w:val="22"/>
        </w:rPr>
        <w:t>8.1 Relocation Management Team:</w:t>
      </w:r>
    </w:p>
    <w:p>
      <w:pPr>
        <w:pStyle w:val="ListBullet"/>
        <w:ind w:left="720"/>
      </w:pPr>
      <w:r>
        <w:rPr>
          <w:b/>
          <w:color w:val="1F4E78"/>
          <w:sz w:val="22"/>
        </w:rPr>
        <w:t>Lead Relocation Officer:</w:t>
      </w:r>
      <w:r>
        <w:rPr>
          <w:color w:val="333333"/>
          <w:sz w:val="22"/>
        </w:rPr>
        <w:t xml:space="preserve"> Sarah Chen, Director of Tenant Relations (Evergreen Development Group LLC). Ms. Chen possesses over 15 years of experience in tenant advocacy and property management, with specific training in relocation compliance.</w:t>
      </w:r>
    </w:p>
    <w:p>
      <w:pPr>
        <w:pStyle w:val="ListBullet"/>
        <w:ind w:left="720"/>
      </w:pPr>
      <w:r>
        <w:rPr>
          <w:b/>
          <w:color w:val="1F4E78"/>
          <w:sz w:val="22"/>
        </w:rPr>
        <w:t>Legal Counsel:</w:t>
      </w:r>
      <w:r>
        <w:rPr>
          <w:color w:val="333333"/>
          <w:sz w:val="22"/>
        </w:rPr>
        <w:t xml:space="preserve"> Henderson &amp; Associates, LLC (specializing in real estate and landlord-tenant law).</w:t>
      </w:r>
    </w:p>
    <w:p>
      <w:pPr>
        <w:pStyle w:val="ListBullet"/>
        <w:ind w:left="720"/>
      </w:pPr>
      <w:r>
        <w:rPr>
          <w:b/>
          <w:color w:val="1F4E78"/>
          <w:sz w:val="22"/>
        </w:rPr>
        <w:t>Community Liaison:</w:t>
      </w:r>
      <w:r>
        <w:rPr>
          <w:color w:val="333333"/>
          <w:sz w:val="22"/>
        </w:rPr>
        <w:t xml:space="preserve"> A dedicated, bilingual community liaison will be employed to foster trust and facilitate communication, particularly with LEP residents.</w:t>
      </w:r>
    </w:p>
    <w:p>
      <w:r>
        <w:rPr>
          <w:b/>
          <w:color w:val="1F4E78"/>
          <w:sz w:val="22"/>
        </w:rPr>
        <w:t>8.2 Reporting and Accountability:</w:t>
      </w:r>
    </w:p>
    <w:p>
      <w:r>
        <w:rPr>
          <w:color w:val="333333"/>
          <w:sz w:val="22"/>
        </w:rPr>
        <w:t>The Lead Relocation Officer shall provide weekly status reports to the Evergreen Development Group LLC executive committee and underwriting department, detailing progress, expenditures, and any emergent issues. A final relocation report, including audited financials, will be compiled upon project completion.</w:t>
      </w:r>
    </w:p>
    <w:p>
      <w:r>
        <w:rPr>
          <w:b/>
          <w:color w:val="1F4E78"/>
          <w:sz w:val="22"/>
        </w:rPr>
        <w:t>8.3 Third-Party Relocation Services:</w:t>
      </w:r>
    </w:p>
    <w:p>
      <w:r>
        <w:rPr>
          <w:color w:val="333333"/>
          <w:sz w:val="22"/>
        </w:rPr>
        <w:t>Evergreen Development Group LLC may retain a qualified third-party relocation services firm to augment internal capacity, particularly for housing search assistance and professional moving coordination, ensuring impartiality and expertise.</w:t>
      </w:r>
    </w:p>
    <w:p>
      <w:pPr>
        <w:pStyle w:val="Heading3"/>
      </w:pPr>
      <w:r>
        <w:rPr>
          <w:color w:val="2E75B6"/>
          <w:sz w:val="26"/>
        </w:rPr>
        <w:t>9.0 Conclusion</w:t>
      </w:r>
    </w:p>
    <w:p>
      <w:r>
        <w:rPr>
          <w:color w:val="333333"/>
          <w:sz w:val="22"/>
        </w:rPr>
        <w:t>This Relocation Plan reflects Evergreen Development Group LLC's unwavering commitment to the ethical and legally compliant execution of the So-Good Apartments development. By meticulously adhering to the outlined processes, allocating adequate financial resources, and prioritizing the welfare of displaced residents, we aim to achieve a seamless transition for all affected parties while mitigating project risks and ensuring successful project delivery. This comprehensive framework will serve as the definitive guide for all relocation activities associated with the So-Good Apartments project.</w:t>
      </w:r>
    </w:p>
    <w:p>
      <w:pPr>
        <w:jc w:val="center"/>
      </w:pPr>
      <w:r>
        <w:rPr>
          <w:color w:val="CCCCCC"/>
          <w:sz w:val="12"/>
        </w:rPr>
        <w:t>────────────────────────────────────────────────────────────────────────────────</w:t>
      </w:r>
    </w:p>
    <w:p>
      <w:r>
        <w:rPr>
          <w:b/>
          <w:color w:val="1F4E78"/>
          <w:sz w:val="22"/>
        </w:rPr>
        <w:t>Appendices (To be provided separately upon request):</w:t>
      </w:r>
    </w:p>
    <w:p>
      <w:pPr>
        <w:pStyle w:val="ListBullet"/>
        <w:ind w:left="720"/>
      </w:pPr>
      <w:r>
        <w:rPr>
          <w:color w:val="333333"/>
          <w:sz w:val="22"/>
        </w:rPr>
        <w:t>Appendix A: Sample Notice of Intent to Develop and Relocate</w:t>
      </w:r>
    </w:p>
    <w:p>
      <w:pPr>
        <w:pStyle w:val="ListBullet"/>
        <w:ind w:left="720"/>
      </w:pPr>
      <w:r>
        <w:rPr>
          <w:color w:val="333333"/>
          <w:sz w:val="22"/>
        </w:rPr>
        <w:t>Appendix B: Sample 120-day Notice to Vacate</w:t>
      </w:r>
    </w:p>
    <w:p>
      <w:pPr>
        <w:pStyle w:val="ListBullet"/>
        <w:ind w:left="720"/>
      </w:pPr>
      <w:r>
        <w:rPr>
          <w:color w:val="333333"/>
          <w:sz w:val="22"/>
        </w:rPr>
        <w:t>Appendix C: Tenant Relocation Information Packet (English and Spanish)</w:t>
      </w:r>
    </w:p>
    <w:p>
      <w:pPr>
        <w:pStyle w:val="ListBullet"/>
        <w:ind w:left="720"/>
      </w:pPr>
      <w:r>
        <w:rPr>
          <w:color w:val="333333"/>
          <w:sz w:val="22"/>
        </w:rPr>
        <w:t>Appendix D: Detailed Relocation Budget Line Items</w:t>
      </w:r>
    </w:p>
    <w:p>
      <w:pPr>
        <w:pStyle w:val="ListBullet"/>
        <w:ind w:left="720"/>
      </w:pPr>
      <w:r>
        <w:rPr>
          <w:color w:val="333333"/>
          <w:sz w:val="22"/>
        </w:rPr>
        <w:t>Appendix E: Relocation Officer Contact Information and Support Resources</w:t>
      </w:r>
    </w:p>
    <w:p>
      <w:pPr>
        <w:pStyle w:val="ListBullet"/>
        <w:ind w:left="720"/>
      </w:pPr>
      <w:r>
        <w:rPr>
          <w:color w:val="333333"/>
          <w:sz w:val="22"/>
        </w:rPr>
        <w:t>Appendix F: Independent Market Study for Comparable Rents (Q4 2023)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