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UTILITY LETTER</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UTILITY DUE DILIGENCE REVIEW AND COMMITMENT ANALYSIS LETTER</w:t>
      </w:r>
    </w:p>
    <w:p>
      <w:pPr>
        <w:pStyle w:val="Heading3"/>
      </w:pPr>
      <w:r>
        <w:rPr>
          <w:color w:val="2E75B6"/>
          <w:sz w:val="26"/>
        </w:rPr>
        <w:t>So-Good Apartments, Springfield, An Underwriter's Perspective</w:t>
      </w:r>
    </w:p>
    <w:p>
      <w:r>
        <w:rPr>
          <w:b/>
          <w:color w:val="1F4E78"/>
          <w:sz w:val="22"/>
        </w:rPr>
        <w:t>Date:</w:t>
      </w:r>
      <w:r>
        <w:rPr>
          <w:color w:val="333333"/>
          <w:sz w:val="22"/>
        </w:rPr>
        <w:t xml:space="preserve"> October 26, 2023</w:t>
      </w:r>
    </w:p>
    <w:p>
      <w:r>
        <w:rPr>
          <w:b/>
          <w:color w:val="1F4E78"/>
          <w:sz w:val="22"/>
        </w:rPr>
        <w:t>To:</w:t>
      </w:r>
      <w:r>
        <w:rPr>
          <w:color w:val="333333"/>
          <w:sz w:val="22"/>
        </w:rPr>
        <w:t xml:space="preserve"> The Investment Committee</w:t>
      </w:r>
    </w:p>
    <w:p>
      <w:r>
        <w:rPr>
          <w:color w:val="333333"/>
          <w:sz w:val="22"/>
        </w:rPr>
        <w:t>Synergy Capital Lending Solutions LLC 123 Wall Street New York, NY 10005</w:t>
      </w:r>
    </w:p>
    <w:p>
      <w:r>
        <w:rPr>
          <w:b/>
          <w:color w:val="1F4E78"/>
          <w:sz w:val="22"/>
        </w:rPr>
        <w:t>From:</w:t>
      </w:r>
      <w:r>
        <w:rPr>
          <w:color w:val="333333"/>
          <w:sz w:val="22"/>
        </w:rPr>
        <w:t xml:space="preserve"> [Your Name/Title], Senior Underwriter &amp; Legal Counsel</w:t>
      </w:r>
    </w:p>
    <w:p>
      <w:r>
        <w:rPr>
          <w:color w:val="333333"/>
          <w:sz w:val="22"/>
        </w:rPr>
        <w:t>Synergy Capital Lending Solutions LLC</w:t>
      </w:r>
    </w:p>
    <w:p>
      <w:r>
        <w:rPr>
          <w:b/>
          <w:color w:val="1F4E78"/>
          <w:sz w:val="22"/>
        </w:rPr>
        <w:t>Subject:</w:t>
      </w:r>
      <w:r>
        <w:rPr>
          <w:color w:val="333333"/>
          <w:sz w:val="22"/>
        </w:rPr>
        <w:t xml:space="preserve"> Comprehensive Utility Due Diligence Review and Underwriting Confirmation for the Proposed $65,000,000 So-Good Apartments Multi-Family Development Project, Springfield, State of [Assumed State] – Tax Parcel ID: 12-34-56-789-012</w:t>
      </w:r>
    </w:p>
    <w:p>
      <w:pPr>
        <w:jc w:val="center"/>
      </w:pPr>
      <w:r>
        <w:rPr>
          <w:color w:val="CCCCCC"/>
          <w:sz w:val="12"/>
        </w:rPr>
        <w:t>────────────────────────────────────────────────────────────────────────────────</w:t>
      </w:r>
    </w:p>
    <w:p>
      <w:pPr>
        <w:pStyle w:val="Heading3"/>
      </w:pPr>
      <w:r>
        <w:rPr>
          <w:color w:val="2E75B6"/>
          <w:sz w:val="26"/>
        </w:rPr>
        <w:t>1.0 Executive Summary and Underwriting Premise</w:t>
      </w:r>
    </w:p>
    <w:p>
      <w:r>
        <w:rPr>
          <w:color w:val="333333"/>
          <w:sz w:val="22"/>
        </w:rPr>
        <w:t xml:space="preserve">This document constitutes a formal, rigorous analysis of the utility infrastructure commitments and associated financial implications for the proposed </w:t>
      </w:r>
      <w:r>
        <w:rPr>
          <w:b/>
          <w:color w:val="1F4E78"/>
          <w:sz w:val="22"/>
        </w:rPr>
        <w:t>So-Good Apartments</w:t>
      </w:r>
      <w:r>
        <w:rPr>
          <w:color w:val="333333"/>
          <w:sz w:val="22"/>
        </w:rPr>
        <w:t xml:space="preserve"> development, a 350-unit Class A multi-family residential project located at 789 Evergreen Terrace, Springfield, State of [Assumed State]. This review is an integral component of the comprehensive underwriting process for the requested $50,000,000 senior construction loan facility, comprising approximately 76.9% of the total estimated project cost of $65,000,000.</w:t>
      </w:r>
    </w:p>
    <w:p>
      <w:r>
        <w:rPr>
          <w:color w:val="333333"/>
          <w:sz w:val="22"/>
        </w:rPr>
        <w:t>The provision of adequate, reliable, and cost-effective utility services is a non-negotiable condition precedent to the financial viability and marketability of any large-scale real estate development. Our analysis herein confirms the developer, Evergreen Developments LLC (the "Developer"), has made substantive progress in securing the necessary utility commitments, delineating the associated costs, and mitigating foreseeable risks. This letter details the existing and proposed utility infrastructure, the status of requisite agreements, and the financial allocation for such provisions within the overall project budget.</w:t>
      </w:r>
    </w:p>
    <w:p>
      <w:pPr>
        <w:pStyle w:val="Heading3"/>
      </w:pPr>
      <w:r>
        <w:rPr>
          <w:color w:val="2E75B6"/>
          <w:sz w:val="26"/>
        </w:rPr>
        <w:t>2.0 Project Overview</w:t>
      </w:r>
    </w:p>
    <w:p>
      <w:r>
        <w:rPr>
          <w:color w:val="333333"/>
          <w:sz w:val="22"/>
        </w:rPr>
        <w:t>So-Good Apartments will consist of three (3) five-story buildings encompassing 350 market-rate residential units, totaling approximately 320,000 gross square feet of residential area, plus an additional 15,000 square feet of amenity space and a structured parking garage. The project site is a 6.8-acre parcel zoned R-3 Multi-Family Residential, situated within a designated growth corridor of Springfield. The estimated project completion date is Q4 2025.</w:t>
      </w:r>
    </w:p>
    <w:p>
      <w:pPr>
        <w:pStyle w:val="Heading3"/>
      </w:pPr>
      <w:r>
        <w:rPr>
          <w:color w:val="2E75B6"/>
          <w:sz w:val="26"/>
        </w:rPr>
        <w:t>3.0 Detailed Utility Analysis and Commitments</w:t>
      </w:r>
    </w:p>
    <w:p>
      <w:r>
        <w:rPr>
          <w:color w:val="333333"/>
          <w:sz w:val="22"/>
        </w:rPr>
        <w:t>Our due diligence involved direct engagement with the Developer's project management team, review of executed and draft utility agreements, third-party engineering reports (specifically, the "Utility Service Availability Study" by Apex Engineering dated September 15, 2023), and correspondence with local utility providers.</w:t>
      </w:r>
    </w:p>
    <w:p>
      <w:pPr>
        <w:pStyle w:val="Heading4"/>
      </w:pPr>
      <w:r>
        <w:rPr>
          <w:color w:val="4472C4"/>
          <w:sz w:val="24"/>
        </w:rPr>
        <w:t>3.1 Water Supply and Distribution</w:t>
      </w:r>
    </w:p>
    <w:p>
      <w:pPr>
        <w:pStyle w:val="ListBullet"/>
        <w:ind w:left="720"/>
      </w:pPr>
      <w:r>
        <w:rPr>
          <w:b/>
          <w:color w:val="1F4E78"/>
          <w:sz w:val="22"/>
        </w:rPr>
        <w:t>Provider:</w:t>
      </w:r>
      <w:r>
        <w:rPr>
          <w:color w:val="333333"/>
          <w:sz w:val="22"/>
        </w:rPr>
        <w:t xml:space="preserve"> Springfield Municipal Water Department (SMWD).</w:t>
      </w:r>
    </w:p>
    <w:p>
      <w:pPr>
        <w:pStyle w:val="ListBullet"/>
        <w:ind w:left="720"/>
      </w:pPr>
      <w:r>
        <w:rPr>
          <w:b/>
          <w:color w:val="1F4E78"/>
          <w:sz w:val="22"/>
        </w:rPr>
        <w:t>Commitment:</w:t>
      </w:r>
      <w:r>
        <w:rPr>
          <w:color w:val="333333"/>
          <w:sz w:val="22"/>
        </w:rPr>
        <w:t xml:space="preserve"> SMWD has issued a </w:t>
      </w:r>
      <w:r>
        <w:rPr>
          <w:b/>
          <w:color w:val="1F4E78"/>
          <w:sz w:val="22"/>
        </w:rPr>
        <w:t>Water Availability Certificate (WAC) #2023-WAC-014</w:t>
      </w:r>
      <w:r>
        <w:rPr>
          <w:color w:val="333333"/>
          <w:sz w:val="22"/>
        </w:rPr>
        <w:t xml:space="preserve"> dated September 29, 2023, confirming sufficient potable water capacity.</w:t>
      </w:r>
    </w:p>
    <w:p>
      <w:pPr>
        <w:pStyle w:val="ListBullet"/>
        <w:ind w:left="720"/>
      </w:pPr>
      <w:r>
        <w:rPr>
          <w:b/>
          <w:color w:val="1F4E78"/>
          <w:sz w:val="22"/>
        </w:rPr>
        <w:t>Capacity Requirement:</w:t>
      </w:r>
      <w:r>
        <w:rPr>
          <w:color w:val="333333"/>
          <w:sz w:val="22"/>
        </w:rPr>
        <w:t xml:space="preserve"> The project's projected peak daily demand is estimated at 38,500 Gallons Per Day (GPD), based on 110 GPD per residential unit (350 units * 110 GPD/unit) for domestic use, inclusive of common area demands and a 10% contingency factor. Fire suppression demand is estimated at 2,000 Gallons Per Minute (GPM) for a continuous duration of two (2) hours, as per NFPA 13 standards and local fire marshal requirements.</w:t>
      </w:r>
    </w:p>
    <w:p>
      <w:pPr>
        <w:pStyle w:val="ListBullet"/>
        <w:ind w:left="720"/>
      </w:pPr>
      <w:r>
        <w:rPr>
          <w:b/>
          <w:color w:val="1F4E78"/>
          <w:sz w:val="22"/>
        </w:rPr>
        <w:t>Infrastructure:</w:t>
      </w:r>
    </w:p>
    <w:p>
      <w:pPr>
        <w:pStyle w:val="ListBullet"/>
        <w:ind w:left="1080"/>
      </w:pPr>
      <w:r>
        <w:rPr>
          <w:color w:val="333333"/>
          <w:sz w:val="22"/>
        </w:rPr>
        <w:t>An existing 12-inch diameter ductile iron water main runs along Evergreen Terrace, adjacent to the property's northern boundary. SMWD has confirmed this main has adequate residual pressure (minimum 60 PSI static, 45 PSI residual at peak demand) and flow to service the project.</w:t>
      </w:r>
    </w:p>
    <w:p>
      <w:pPr>
        <w:pStyle w:val="ListBullet"/>
        <w:ind w:left="1080"/>
      </w:pPr>
      <w:r>
        <w:rPr>
          <w:color w:val="333333"/>
          <w:sz w:val="22"/>
        </w:rPr>
        <w:t>On-site improvements include the installation of approximately 850 linear feet of 8-inch diameter looped domestic water lines and two (2) dedicated 10-inch diameter fire suppression mains connecting to the public main.</w:t>
      </w:r>
    </w:p>
    <w:p>
      <w:pPr>
        <w:pStyle w:val="ListBullet"/>
        <w:ind w:left="1080"/>
      </w:pPr>
      <w:r>
        <w:rPr>
          <w:color w:val="333333"/>
          <w:sz w:val="22"/>
        </w:rPr>
        <w:t>The Developer is responsible for the full cost of on-site distribution infrastructure.</w:t>
      </w:r>
    </w:p>
    <w:p>
      <w:pPr>
        <w:pStyle w:val="ListBullet"/>
        <w:ind w:left="720"/>
      </w:pPr>
      <w:r>
        <w:rPr>
          <w:b/>
          <w:color w:val="1F4E78"/>
          <w:sz w:val="22"/>
        </w:rPr>
        <w:t>Costs:</w:t>
      </w:r>
    </w:p>
    <w:p>
      <w:pPr>
        <w:pStyle w:val="ListBullet"/>
        <w:ind w:left="1080"/>
      </w:pPr>
      <w:r>
        <w:rPr>
          <w:b/>
          <w:color w:val="1F4E78"/>
          <w:sz w:val="22"/>
        </w:rPr>
        <w:t>Connection Fees (Impact Fees):</w:t>
      </w:r>
      <w:r>
        <w:rPr>
          <w:color w:val="333333"/>
          <w:sz w:val="22"/>
        </w:rPr>
        <w:t xml:space="preserve"> A one-time System Development Charge (SDC) of $1,850 per equivalent residential unit (ERU) is levied by SMWD. For 350 units, this totals </w:t>
      </w:r>
      <w:r>
        <w:rPr>
          <w:b/>
          <w:color w:val="1F4E78"/>
          <w:sz w:val="22"/>
        </w:rPr>
        <w:t>$647,500</w:t>
      </w:r>
      <w:r>
        <w:rPr>
          <w:color w:val="333333"/>
          <w:sz w:val="22"/>
        </w:rPr>
        <w:t>. This amount has been paid by the Developer and receipt confirmed via SMWD Invoice #SMWD-SDC-1023-08.</w:t>
      </w:r>
    </w:p>
    <w:p>
      <w:pPr>
        <w:pStyle w:val="ListBullet"/>
        <w:ind w:left="1080"/>
      </w:pPr>
      <w:r>
        <w:rPr>
          <w:b/>
          <w:color w:val="1F4E78"/>
          <w:sz w:val="22"/>
        </w:rPr>
        <w:t>On-Site Infrastructure:</w:t>
      </w:r>
      <w:r>
        <w:rPr>
          <w:color w:val="333333"/>
          <w:sz w:val="22"/>
        </w:rPr>
        <w:t xml:space="preserve"> Estimated at </w:t>
      </w:r>
      <w:r>
        <w:rPr>
          <w:b/>
          <w:color w:val="1F4E78"/>
          <w:sz w:val="22"/>
        </w:rPr>
        <w:t>$310,000</w:t>
      </w:r>
      <w:r>
        <w:rPr>
          <w:color w:val="333333"/>
          <w:sz w:val="22"/>
        </w:rPr>
        <w:t>, per Apex Engineering, covering trenching, pipe, fittings, valves, and labor. This is included in the project's hard costs.</w:t>
      </w:r>
    </w:p>
    <w:p>
      <w:pPr>
        <w:pStyle w:val="ListBullet"/>
        <w:ind w:left="720"/>
      </w:pPr>
      <w:r>
        <w:rPr>
          <w:b/>
          <w:color w:val="1F4E78"/>
          <w:sz w:val="22"/>
        </w:rPr>
        <w:t>Documentation:</w:t>
      </w:r>
      <w:r>
        <w:rPr>
          <w:color w:val="333333"/>
          <w:sz w:val="22"/>
        </w:rPr>
        <w:t xml:space="preserve"> Fully executed WAC and SMWD invoice are included in the loan documentation package.</w:t>
      </w:r>
    </w:p>
    <w:p>
      <w:pPr>
        <w:pStyle w:val="Heading4"/>
      </w:pPr>
      <w:r>
        <w:rPr>
          <w:color w:val="4472C4"/>
          <w:sz w:val="24"/>
        </w:rPr>
        <w:t>3.2 Sanitary Sewer Collection and Treatment</w:t>
      </w:r>
    </w:p>
    <w:p>
      <w:pPr>
        <w:pStyle w:val="ListBullet"/>
        <w:ind w:left="720"/>
      </w:pPr>
      <w:r>
        <w:rPr>
          <w:b/>
          <w:color w:val="1F4E78"/>
          <w:sz w:val="22"/>
        </w:rPr>
        <w:t>Provider:</w:t>
      </w:r>
      <w:r>
        <w:rPr>
          <w:color w:val="333333"/>
          <w:sz w:val="22"/>
        </w:rPr>
        <w:t xml:space="preserve"> Springfield Wastewater Treatment Authority (SWTA).</w:t>
      </w:r>
    </w:p>
    <w:p>
      <w:pPr>
        <w:pStyle w:val="ListBullet"/>
        <w:ind w:left="720"/>
      </w:pPr>
      <w:r>
        <w:rPr>
          <w:b/>
          <w:color w:val="1F4E78"/>
          <w:sz w:val="22"/>
        </w:rPr>
        <w:t>Commitment:</w:t>
      </w:r>
      <w:r>
        <w:rPr>
          <w:color w:val="333333"/>
          <w:sz w:val="22"/>
        </w:rPr>
        <w:t xml:space="preserve"> SWTA has issued a </w:t>
      </w:r>
      <w:r>
        <w:rPr>
          <w:b/>
          <w:color w:val="1F4E78"/>
          <w:sz w:val="22"/>
        </w:rPr>
        <w:t>Sewer Service Agreement (SSA) #2023-SSA-021</w:t>
      </w:r>
      <w:r>
        <w:rPr>
          <w:color w:val="333333"/>
          <w:sz w:val="22"/>
        </w:rPr>
        <w:t xml:space="preserve"> dated October 5, 2023, confirming allocation of treatment capacity.</w:t>
      </w:r>
    </w:p>
    <w:p>
      <w:pPr>
        <w:pStyle w:val="ListBullet"/>
        <w:ind w:left="720"/>
      </w:pPr>
      <w:r>
        <w:rPr>
          <w:b/>
          <w:color w:val="1F4E78"/>
          <w:sz w:val="22"/>
        </w:rPr>
        <w:t>Capacity Requirement:</w:t>
      </w:r>
      <w:r>
        <w:rPr>
          <w:color w:val="333333"/>
          <w:sz w:val="22"/>
        </w:rPr>
        <w:t xml:space="preserve"> The project's projected average daily wastewater flow is estimated at 31,500 GPD, based on 90 GPD per residential unit (350 units * 90 GPD/unit), inclusive of common area discharge and a 10% infiltration/inflow contingency.</w:t>
      </w:r>
    </w:p>
    <w:p>
      <w:pPr>
        <w:pStyle w:val="ListBullet"/>
        <w:ind w:left="720"/>
      </w:pPr>
      <w:r>
        <w:rPr>
          <w:b/>
          <w:color w:val="1F4E78"/>
          <w:sz w:val="22"/>
        </w:rPr>
        <w:t>Infrastructure:</w:t>
      </w:r>
    </w:p>
    <w:p>
      <w:pPr>
        <w:pStyle w:val="ListBullet"/>
        <w:ind w:left="1080"/>
      </w:pPr>
      <w:r>
        <w:rPr>
          <w:color w:val="333333"/>
          <w:sz w:val="22"/>
        </w:rPr>
        <w:t>An existing 15-inch diameter gravity sewer main traverses the project site's southern boundary. SWTA has confirmed this main has sufficient capacity and grade to accept the project's effluent.</w:t>
      </w:r>
    </w:p>
    <w:p>
      <w:pPr>
        <w:pStyle w:val="ListBullet"/>
        <w:ind w:left="1080"/>
      </w:pPr>
      <w:r>
        <w:rPr>
          <w:color w:val="333333"/>
          <w:sz w:val="22"/>
        </w:rPr>
        <w:t>On-site improvements include the installation of approximately 1,100 linear feet of 8-inch diameter PVC collection mains, gravity fed to two (2) manholes connecting to the public main. A dedicated lift station for Building C will be required, estimated at $120,000.</w:t>
      </w:r>
    </w:p>
    <w:p>
      <w:pPr>
        <w:pStyle w:val="ListBullet"/>
        <w:ind w:left="720"/>
      </w:pPr>
      <w:r>
        <w:rPr>
          <w:b/>
          <w:color w:val="1F4E78"/>
          <w:sz w:val="22"/>
        </w:rPr>
        <w:t>Costs:</w:t>
      </w:r>
    </w:p>
    <w:p>
      <w:pPr>
        <w:pStyle w:val="ListBullet"/>
        <w:ind w:left="1080"/>
      </w:pPr>
      <w:r>
        <w:rPr>
          <w:b/>
          <w:color w:val="1F4E78"/>
          <w:sz w:val="22"/>
        </w:rPr>
        <w:t>Connection Fees (Impact Fees):</w:t>
      </w:r>
      <w:r>
        <w:rPr>
          <w:color w:val="333333"/>
          <w:sz w:val="22"/>
        </w:rPr>
        <w:t xml:space="preserve"> A one-time SDC of $1,600 per ERU is levied by SWTA. For 350 units, this totals </w:t>
      </w:r>
      <w:r>
        <w:rPr>
          <w:b/>
          <w:color w:val="1F4E78"/>
          <w:sz w:val="22"/>
        </w:rPr>
        <w:t>$560,000</w:t>
      </w:r>
      <w:r>
        <w:rPr>
          <w:color w:val="333333"/>
          <w:sz w:val="22"/>
        </w:rPr>
        <w:t>. This amount has been paid by the Developer and receipt confirmed via SWTA Invoice #SWTA-SDC-1023-05.</w:t>
      </w:r>
    </w:p>
    <w:p>
      <w:pPr>
        <w:pStyle w:val="ListBullet"/>
        <w:ind w:left="1080"/>
      </w:pPr>
      <w:r>
        <w:rPr>
          <w:b/>
          <w:color w:val="1F4E78"/>
          <w:sz w:val="22"/>
        </w:rPr>
        <w:t>On-Site Infrastructure:</w:t>
      </w:r>
      <w:r>
        <w:rPr>
          <w:color w:val="333333"/>
          <w:sz w:val="22"/>
        </w:rPr>
        <w:t xml:space="preserve"> Estimated at </w:t>
      </w:r>
      <w:r>
        <w:rPr>
          <w:b/>
          <w:color w:val="1F4E78"/>
          <w:sz w:val="22"/>
        </w:rPr>
        <w:t>$485,000</w:t>
      </w:r>
      <w:r>
        <w:rPr>
          <w:color w:val="333333"/>
          <w:sz w:val="22"/>
        </w:rPr>
        <w:t xml:space="preserve"> (inclusive of the lift station) per Apex Engineering, covering collection mains, manholes, and the lift station. This is included in the project's hard costs.</w:t>
      </w:r>
    </w:p>
    <w:p>
      <w:pPr>
        <w:pStyle w:val="ListBullet"/>
        <w:ind w:left="720"/>
      </w:pPr>
      <w:r>
        <w:rPr>
          <w:b/>
          <w:color w:val="1F4E78"/>
          <w:sz w:val="22"/>
        </w:rPr>
        <w:t>Documentation:</w:t>
      </w:r>
      <w:r>
        <w:rPr>
          <w:color w:val="333333"/>
          <w:sz w:val="22"/>
        </w:rPr>
        <w:t xml:space="preserve"> Fully executed SSA and SWTA invoice are included in the loan documentation package.</w:t>
      </w:r>
    </w:p>
    <w:p>
      <w:pPr>
        <w:pStyle w:val="Heading4"/>
      </w:pPr>
      <w:r>
        <w:rPr>
          <w:color w:val="4472C4"/>
          <w:sz w:val="24"/>
        </w:rPr>
        <w:t>3.3 Electrical Power Distribution</w:t>
      </w:r>
    </w:p>
    <w:p>
      <w:pPr>
        <w:pStyle w:val="ListBullet"/>
        <w:ind w:left="720"/>
      </w:pPr>
      <w:r>
        <w:rPr>
          <w:b/>
          <w:color w:val="1F4E78"/>
          <w:sz w:val="22"/>
        </w:rPr>
        <w:t>Provider:</w:t>
      </w:r>
      <w:r>
        <w:rPr>
          <w:color w:val="333333"/>
          <w:sz w:val="22"/>
        </w:rPr>
        <w:t xml:space="preserve"> Springfield Electric Utility (SEU).</w:t>
      </w:r>
    </w:p>
    <w:p>
      <w:pPr>
        <w:pStyle w:val="ListBullet"/>
        <w:ind w:left="720"/>
      </w:pPr>
      <w:r>
        <w:rPr>
          <w:b/>
          <w:color w:val="1F4E78"/>
          <w:sz w:val="22"/>
        </w:rPr>
        <w:t>Commitment:</w:t>
      </w:r>
      <w:r>
        <w:rPr>
          <w:color w:val="333333"/>
          <w:sz w:val="22"/>
        </w:rPr>
        <w:t xml:space="preserve"> SEU has issued a </w:t>
      </w:r>
      <w:r>
        <w:rPr>
          <w:b/>
          <w:color w:val="1F4E78"/>
          <w:sz w:val="22"/>
        </w:rPr>
        <w:t>Service Availability Letter (SAL) #SEU-SAL-2023-038</w:t>
      </w:r>
      <w:r>
        <w:rPr>
          <w:color w:val="333333"/>
          <w:sz w:val="22"/>
        </w:rPr>
        <w:t xml:space="preserve"> dated September 22, 2023, confirming grid capacity.</w:t>
      </w:r>
    </w:p>
    <w:p>
      <w:pPr>
        <w:pStyle w:val="ListBullet"/>
        <w:ind w:left="720"/>
      </w:pPr>
      <w:r>
        <w:rPr>
          <w:b/>
          <w:color w:val="1F4E78"/>
          <w:sz w:val="22"/>
        </w:rPr>
        <w:t>Capacity Requirement:</w:t>
      </w:r>
      <w:r>
        <w:rPr>
          <w:color w:val="333333"/>
          <w:sz w:val="22"/>
        </w:rPr>
        <w:t xml:space="preserve"> The project's diversified peak electrical demand is estimated at 1.8 MegaWatts (MW), factoring in residential loads (averaging 5.0 kW/unit), common area loads (e.g., HVAC, lighting, elevators, fitness center), and future EV charging infrastructure (provision for 50 chargers at 7.2 kW each).</w:t>
      </w:r>
    </w:p>
    <w:p>
      <w:pPr>
        <w:pStyle w:val="ListBullet"/>
        <w:ind w:left="720"/>
      </w:pPr>
      <w:r>
        <w:rPr>
          <w:b/>
          <w:color w:val="1F4E78"/>
          <w:sz w:val="22"/>
        </w:rPr>
        <w:t>Infrastructure:</w:t>
      </w:r>
    </w:p>
    <w:p>
      <w:pPr>
        <w:pStyle w:val="ListBullet"/>
        <w:ind w:left="1080"/>
      </w:pPr>
      <w:r>
        <w:rPr>
          <w:color w:val="333333"/>
          <w:sz w:val="22"/>
        </w:rPr>
        <w:t>An existing 34.5kV primary distribution line runs along the project's eastern boundary.</w:t>
      </w:r>
    </w:p>
    <w:p>
      <w:pPr>
        <w:pStyle w:val="ListBullet"/>
        <w:ind w:left="1080"/>
      </w:pPr>
      <w:r>
        <w:rPr>
          <w:color w:val="333333"/>
          <w:sz w:val="22"/>
        </w:rPr>
        <w:t>SEU will require the Developer to fund and install a new dedicated 2.5 MVA pad-mounted substation on the property, complete with a 1,500 linear foot underground 34.5kV primary feeder extension from the existing grid tie-in point.</w:t>
      </w:r>
    </w:p>
    <w:p>
      <w:pPr>
        <w:pStyle w:val="ListBullet"/>
        <w:ind w:left="1080"/>
      </w:pPr>
      <w:r>
        <w:rPr>
          <w:color w:val="333333"/>
          <w:sz w:val="22"/>
        </w:rPr>
        <w:t>On-site secondary distribution will consist of underground conduit and conductors from the substation to each building's main switchgear.</w:t>
      </w:r>
    </w:p>
    <w:p>
      <w:pPr>
        <w:pStyle w:val="ListBullet"/>
        <w:ind w:left="720"/>
      </w:pPr>
      <w:r>
        <w:rPr>
          <w:b/>
          <w:color w:val="1F4E78"/>
          <w:sz w:val="22"/>
        </w:rPr>
        <w:t>Costs:</w:t>
      </w:r>
    </w:p>
    <w:p>
      <w:pPr>
        <w:pStyle w:val="ListBullet"/>
        <w:ind w:left="1080"/>
      </w:pPr>
      <w:r>
        <w:rPr>
          <w:b/>
          <w:color w:val="1F4E78"/>
          <w:sz w:val="22"/>
        </w:rPr>
        <w:t>Substation &amp; Feeder Extension:</w:t>
      </w:r>
      <w:r>
        <w:rPr>
          <w:color w:val="333333"/>
          <w:sz w:val="22"/>
        </w:rPr>
        <w:t xml:space="preserve"> Estimated at </w:t>
      </w:r>
      <w:r>
        <w:rPr>
          <w:b/>
          <w:color w:val="1F4E78"/>
          <w:sz w:val="22"/>
        </w:rPr>
        <w:t>$950,000</w:t>
      </w:r>
      <w:r>
        <w:rPr>
          <w:color w:val="333333"/>
          <w:sz w:val="22"/>
        </w:rPr>
        <w:t xml:space="preserve">, with a contribution in aid of construction (CIAC) from SEU of $150,000, reducing the Developer's net cost to </w:t>
      </w:r>
      <w:r>
        <w:rPr>
          <w:b/>
          <w:color w:val="1F4E78"/>
          <w:sz w:val="22"/>
        </w:rPr>
        <w:t>$800,000</w:t>
      </w:r>
      <w:r>
        <w:rPr>
          <w:color w:val="333333"/>
          <w:sz w:val="22"/>
        </w:rPr>
        <w:t>. This cost is included in the project's development budget.</w:t>
      </w:r>
    </w:p>
    <w:p>
      <w:pPr>
        <w:pStyle w:val="ListBullet"/>
        <w:ind w:left="1080"/>
      </w:pPr>
      <w:r>
        <w:rPr>
          <w:b/>
          <w:color w:val="1F4E78"/>
          <w:sz w:val="22"/>
        </w:rPr>
        <w:t>On-Site Secondary Distribution:</w:t>
      </w:r>
      <w:r>
        <w:rPr>
          <w:color w:val="333333"/>
          <w:sz w:val="22"/>
        </w:rPr>
        <w:t xml:space="preserve"> Estimated at </w:t>
      </w:r>
      <w:r>
        <w:rPr>
          <w:b/>
          <w:color w:val="1F4E78"/>
          <w:sz w:val="22"/>
        </w:rPr>
        <w:t>$520,000</w:t>
      </w:r>
      <w:r>
        <w:rPr>
          <w:color w:val="333333"/>
          <w:sz w:val="22"/>
        </w:rPr>
        <w:t>, per Apex Engineering. This is included in the project's hard costs.</w:t>
      </w:r>
    </w:p>
    <w:p>
      <w:pPr>
        <w:pStyle w:val="ListBullet"/>
        <w:ind w:left="720"/>
      </w:pPr>
      <w:r>
        <w:rPr>
          <w:b/>
          <w:color w:val="1F4E78"/>
          <w:sz w:val="22"/>
        </w:rPr>
        <w:t>Documentation:</w:t>
      </w:r>
      <w:r>
        <w:rPr>
          <w:color w:val="333333"/>
          <w:sz w:val="22"/>
        </w:rPr>
        <w:t xml:space="preserve"> Fully executed SAL and an executed Facilities Extension Agreement with SEU are included in the loan documentation package.</w:t>
      </w:r>
    </w:p>
    <w:p>
      <w:pPr>
        <w:pStyle w:val="Heading4"/>
      </w:pPr>
      <w:r>
        <w:rPr>
          <w:color w:val="4472C4"/>
          <w:sz w:val="24"/>
        </w:rPr>
        <w:t>3.4 Natural Gas Supply</w:t>
      </w:r>
    </w:p>
    <w:p>
      <w:pPr>
        <w:pStyle w:val="ListBullet"/>
        <w:ind w:left="720"/>
      </w:pPr>
      <w:r>
        <w:rPr>
          <w:b/>
          <w:color w:val="1F4E78"/>
          <w:sz w:val="22"/>
        </w:rPr>
        <w:t>Provider:</w:t>
      </w:r>
      <w:r>
        <w:rPr>
          <w:color w:val="333333"/>
          <w:sz w:val="22"/>
        </w:rPr>
        <w:t xml:space="preserve"> Springfield Gas &amp; Electric (SGE).</w:t>
      </w:r>
    </w:p>
    <w:p>
      <w:pPr>
        <w:pStyle w:val="ListBullet"/>
        <w:ind w:left="720"/>
      </w:pPr>
      <w:r>
        <w:rPr>
          <w:b/>
          <w:color w:val="1F4E78"/>
          <w:sz w:val="22"/>
        </w:rPr>
        <w:t>Commitment:</w:t>
      </w:r>
      <w:r>
        <w:rPr>
          <w:color w:val="333333"/>
          <w:sz w:val="22"/>
        </w:rPr>
        <w:t xml:space="preserve"> SGE has issued a </w:t>
      </w:r>
      <w:r>
        <w:rPr>
          <w:b/>
          <w:color w:val="1F4E78"/>
          <w:sz w:val="22"/>
        </w:rPr>
        <w:t>Gas Service Agreement (GSA) #SGE-GSA-2023-055</w:t>
      </w:r>
      <w:r>
        <w:rPr>
          <w:color w:val="333333"/>
          <w:sz w:val="22"/>
        </w:rPr>
        <w:t xml:space="preserve"> dated October 10, 2023, confirming supply.</w:t>
      </w:r>
    </w:p>
    <w:p>
      <w:pPr>
        <w:pStyle w:val="ListBullet"/>
        <w:ind w:left="720"/>
      </w:pPr>
      <w:r>
        <w:rPr>
          <w:b/>
          <w:color w:val="1F4E78"/>
          <w:sz w:val="22"/>
        </w:rPr>
        <w:t>Capacity Requirement:</w:t>
      </w:r>
      <w:r>
        <w:rPr>
          <w:color w:val="333333"/>
          <w:sz w:val="22"/>
        </w:rPr>
        <w:t xml:space="preserve"> The project's diversified peak natural gas demand is estimated at 25,000 therms per month, primarily for domestic hot water, residential heating (supplemental to electric heat pumps), and common area amenities (e.g., fire pits, grills).</w:t>
      </w:r>
    </w:p>
    <w:p>
      <w:pPr>
        <w:pStyle w:val="ListBullet"/>
        <w:ind w:left="720"/>
      </w:pPr>
      <w:r>
        <w:rPr>
          <w:b/>
          <w:color w:val="1F4E78"/>
          <w:sz w:val="22"/>
        </w:rPr>
        <w:t>Infrastructure:</w:t>
      </w:r>
    </w:p>
    <w:p>
      <w:pPr>
        <w:pStyle w:val="ListBullet"/>
        <w:ind w:left="1080"/>
      </w:pPr>
      <w:r>
        <w:rPr>
          <w:color w:val="333333"/>
          <w:sz w:val="22"/>
        </w:rPr>
        <w:t>An existing 6-inch medium-pressure gas main runs along Elm Street, approximately 250 feet south of the property line.</w:t>
      </w:r>
    </w:p>
    <w:p>
      <w:pPr>
        <w:pStyle w:val="ListBullet"/>
        <w:ind w:left="1080"/>
      </w:pPr>
      <w:r>
        <w:rPr>
          <w:color w:val="333333"/>
          <w:sz w:val="22"/>
        </w:rPr>
        <w:t>SGE requires the Developer to fund the extension of a new 4-inch diameter medium-pressure gas main for approximately 300 linear feet to the property line. A master gas meter and pressure regulation station will be installed on-site, followed by low-pressure distribution to each building.</w:t>
      </w:r>
    </w:p>
    <w:p>
      <w:pPr>
        <w:pStyle w:val="ListBullet"/>
        <w:ind w:left="720"/>
      </w:pPr>
      <w:r>
        <w:rPr>
          <w:b/>
          <w:color w:val="1F4E78"/>
          <w:sz w:val="22"/>
        </w:rPr>
        <w:t>Costs:</w:t>
      </w:r>
    </w:p>
    <w:p>
      <w:pPr>
        <w:pStyle w:val="ListBullet"/>
        <w:ind w:left="1080"/>
      </w:pPr>
      <w:r>
        <w:rPr>
          <w:b/>
          <w:color w:val="1F4E78"/>
          <w:sz w:val="22"/>
        </w:rPr>
        <w:t>Main Extension &amp; Regulation Station:</w:t>
      </w:r>
      <w:r>
        <w:rPr>
          <w:color w:val="333333"/>
          <w:sz w:val="22"/>
        </w:rPr>
        <w:t xml:space="preserve"> Estimated at </w:t>
      </w:r>
      <w:r>
        <w:rPr>
          <w:b/>
          <w:color w:val="1F4E78"/>
          <w:sz w:val="22"/>
        </w:rPr>
        <w:t>$180,000</w:t>
      </w:r>
      <w:r>
        <w:rPr>
          <w:color w:val="333333"/>
          <w:sz w:val="22"/>
        </w:rPr>
        <w:t>, fully funded by the Developer. This cost is included in the project's development budget.</w:t>
      </w:r>
    </w:p>
    <w:p>
      <w:pPr>
        <w:pStyle w:val="ListBullet"/>
        <w:ind w:left="1080"/>
      </w:pPr>
      <w:r>
        <w:rPr>
          <w:b/>
          <w:color w:val="1F4E78"/>
          <w:sz w:val="22"/>
        </w:rPr>
        <w:t>On-Site Distribution:</w:t>
      </w:r>
      <w:r>
        <w:rPr>
          <w:color w:val="333333"/>
          <w:sz w:val="22"/>
        </w:rPr>
        <w:t xml:space="preserve"> Estimated at </w:t>
      </w:r>
      <w:r>
        <w:rPr>
          <w:b/>
          <w:color w:val="1F4E78"/>
          <w:sz w:val="22"/>
        </w:rPr>
        <w:t>$150,000</w:t>
      </w:r>
      <w:r>
        <w:rPr>
          <w:color w:val="333333"/>
          <w:sz w:val="22"/>
        </w:rPr>
        <w:t>, per Apex Engineering. This is included in the project's hard costs.</w:t>
      </w:r>
    </w:p>
    <w:p>
      <w:pPr>
        <w:pStyle w:val="ListBullet"/>
        <w:ind w:left="720"/>
      </w:pPr>
      <w:r>
        <w:rPr>
          <w:b/>
          <w:color w:val="1F4E78"/>
          <w:sz w:val="22"/>
        </w:rPr>
        <w:t>Documentation:</w:t>
      </w:r>
      <w:r>
        <w:rPr>
          <w:color w:val="333333"/>
          <w:sz w:val="22"/>
        </w:rPr>
        <w:t xml:space="preserve"> Fully executed GSA and a gas main extension agreement with SGE are included in the loan documentation package.</w:t>
      </w:r>
    </w:p>
    <w:p>
      <w:pPr>
        <w:pStyle w:val="Heading4"/>
      </w:pPr>
      <w:r>
        <w:rPr>
          <w:color w:val="4472C4"/>
          <w:sz w:val="24"/>
        </w:rPr>
        <w:t>3.5 Telecommunications and Data Services</w:t>
      </w:r>
    </w:p>
    <w:p>
      <w:pPr>
        <w:pStyle w:val="ListBullet"/>
        <w:ind w:left="720"/>
      </w:pPr>
      <w:r>
        <w:rPr>
          <w:b/>
          <w:color w:val="1F4E78"/>
          <w:sz w:val="22"/>
        </w:rPr>
        <w:t>Providers:</w:t>
      </w:r>
      <w:r>
        <w:rPr>
          <w:color w:val="333333"/>
          <w:sz w:val="22"/>
        </w:rPr>
        <w:t xml:space="preserve"> FiberNet Inc. (primary fiber optic), CableComm Corp. (secondary coaxial and data).</w:t>
      </w:r>
    </w:p>
    <w:p>
      <w:pPr>
        <w:pStyle w:val="ListBullet"/>
        <w:ind w:left="720"/>
      </w:pPr>
      <w:r>
        <w:rPr>
          <w:b/>
          <w:color w:val="1F4E78"/>
          <w:sz w:val="22"/>
        </w:rPr>
        <w:t>Commitment:</w:t>
      </w:r>
      <w:r>
        <w:rPr>
          <w:color w:val="333333"/>
          <w:sz w:val="22"/>
        </w:rPr>
        <w:t xml:space="preserve"> Executed bulk service agreements with both FiberNet Inc. and CableComm Corp. for high-speed internet and cable television services, ensuring competitive provision to residents.</w:t>
      </w:r>
    </w:p>
    <w:p>
      <w:pPr>
        <w:pStyle w:val="ListBullet"/>
        <w:ind w:left="720"/>
      </w:pPr>
      <w:r>
        <w:rPr>
          <w:b/>
          <w:color w:val="1F4E78"/>
          <w:sz w:val="22"/>
        </w:rPr>
        <w:t>Infrastructure:</w:t>
      </w:r>
    </w:p>
    <w:p>
      <w:pPr>
        <w:pStyle w:val="ListBullet"/>
        <w:ind w:left="1080"/>
      </w:pPr>
      <w:r>
        <w:rPr>
          <w:color w:val="333333"/>
          <w:sz w:val="22"/>
        </w:rPr>
        <w:t>Developer is responsible for installation of all conduit infrastructure, fiber optic backbone, and in-unit wiring to demarcation points. FiberNet Inc. will extend their network to the property line and provide the necessary head-end equipment.</w:t>
      </w:r>
    </w:p>
    <w:p>
      <w:pPr>
        <w:pStyle w:val="ListBullet"/>
        <w:ind w:left="720"/>
      </w:pPr>
      <w:r>
        <w:rPr>
          <w:b/>
          <w:color w:val="1F4E78"/>
          <w:sz w:val="22"/>
        </w:rPr>
        <w:t>Costs:</w:t>
      </w:r>
    </w:p>
    <w:p>
      <w:pPr>
        <w:pStyle w:val="ListBullet"/>
        <w:ind w:left="1080"/>
      </w:pPr>
      <w:r>
        <w:rPr>
          <w:b/>
          <w:color w:val="1F4E78"/>
          <w:sz w:val="22"/>
        </w:rPr>
        <w:t>On-Site Infrastructure (Conduit/Wiring):</w:t>
      </w:r>
      <w:r>
        <w:rPr>
          <w:color w:val="333333"/>
          <w:sz w:val="22"/>
        </w:rPr>
        <w:t xml:space="preserve"> Estimated at </w:t>
      </w:r>
      <w:r>
        <w:rPr>
          <w:b/>
          <w:color w:val="1F4E78"/>
          <w:sz w:val="22"/>
        </w:rPr>
        <w:t>$210,000</w:t>
      </w:r>
      <w:r>
        <w:rPr>
          <w:color w:val="333333"/>
          <w:sz w:val="22"/>
        </w:rPr>
        <w:t>, per project specifications. This is included in the project's hard costs.</w:t>
      </w:r>
    </w:p>
    <w:p>
      <w:pPr>
        <w:pStyle w:val="ListBullet"/>
        <w:ind w:left="1080"/>
      </w:pPr>
      <w:r>
        <w:rPr>
          <w:b/>
          <w:color w:val="1F4E78"/>
          <w:sz w:val="22"/>
        </w:rPr>
        <w:t>Provider Equipment/Service Activation:</w:t>
      </w:r>
      <w:r>
        <w:rPr>
          <w:color w:val="333333"/>
          <w:sz w:val="22"/>
        </w:rPr>
        <w:t xml:space="preserve"> Generally absorbed by the utility providers as part of their bulk service agreements, with revenue-sharing clauses. No direct capital cost to Developer for this component.</w:t>
      </w:r>
    </w:p>
    <w:p>
      <w:pPr>
        <w:pStyle w:val="ListBullet"/>
        <w:ind w:left="720"/>
      </w:pPr>
      <w:r>
        <w:rPr>
          <w:b/>
          <w:color w:val="1F4E78"/>
          <w:sz w:val="22"/>
        </w:rPr>
        <w:t>Documentation:</w:t>
      </w:r>
      <w:r>
        <w:rPr>
          <w:color w:val="333333"/>
          <w:sz w:val="22"/>
        </w:rPr>
        <w:t xml:space="preserve"> Fully executed bulk service agreements are included in the loan documentation package.</w:t>
      </w:r>
    </w:p>
    <w:p>
      <w:pPr>
        <w:pStyle w:val="Heading3"/>
      </w:pPr>
      <w:r>
        <w:rPr>
          <w:color w:val="2E75B6"/>
          <w:sz w:val="26"/>
        </w:rPr>
        <w:t>4.0 Easements, Rights-of-Way, and Permitting</w:t>
      </w:r>
    </w:p>
    <w:p>
      <w:pPr>
        <w:pStyle w:val="ListBullet"/>
        <w:ind w:left="720"/>
      </w:pPr>
      <w:r>
        <w:rPr>
          <w:b/>
          <w:color w:val="1F4E78"/>
          <w:sz w:val="22"/>
        </w:rPr>
        <w:t>Easements:</w:t>
      </w:r>
      <w:r>
        <w:rPr>
          <w:color w:val="333333"/>
          <w:sz w:val="22"/>
        </w:rPr>
        <w:t xml:space="preserve"> All necessary utility easements (e.g., for SMWD water main, SWTA sewer main, SEU substation access) have been identified on the recorded plat and confirmed to be contained within the project parcel or within existing public rights-of-way. No off-site private easements requiring acquisition are presently identified as critical path items for utility provision.</w:t>
      </w:r>
    </w:p>
    <w:p>
      <w:pPr>
        <w:pStyle w:val="ListBullet"/>
        <w:ind w:left="720"/>
      </w:pPr>
      <w:r>
        <w:rPr>
          <w:b/>
          <w:color w:val="1F4E78"/>
          <w:sz w:val="22"/>
        </w:rPr>
        <w:t>Rights-of-Way (ROW):</w:t>
      </w:r>
      <w:r>
        <w:rPr>
          <w:color w:val="333333"/>
          <w:sz w:val="22"/>
        </w:rPr>
        <w:t xml:space="preserve"> The Developer has secured an </w:t>
      </w:r>
      <w:r>
        <w:rPr>
          <w:b/>
          <w:color w:val="1F4E78"/>
          <w:sz w:val="22"/>
        </w:rPr>
        <w:t>Encroachment Permit #SPR-ROW-2023-017</w:t>
      </w:r>
      <w:r>
        <w:rPr>
          <w:color w:val="333333"/>
          <w:sz w:val="22"/>
        </w:rPr>
        <w:t xml:space="preserve"> from the City of Springfield Department of Public Works for all required trenching and street cuts within public ROW along Evergreen Terrace and Elm Street.</w:t>
      </w:r>
    </w:p>
    <w:p>
      <w:pPr>
        <w:pStyle w:val="ListBullet"/>
        <w:ind w:left="720"/>
      </w:pPr>
      <w:r>
        <w:rPr>
          <w:b/>
          <w:color w:val="1F4E78"/>
          <w:sz w:val="22"/>
        </w:rPr>
        <w:t>Permitting:</w:t>
      </w:r>
      <w:r>
        <w:rPr>
          <w:color w:val="333333"/>
          <w:sz w:val="22"/>
        </w:rPr>
        <w:t xml:space="preserve"> All requisite utility-specific permits (e.g., water/sewer tap permits, electrical interconnection permits) are either approved or in advanced stages of review, with no material adverse comments received to date. The Master Grading and Utility Permit (MGUP) #SPR-MGUP-2023-009 was issued on October 18, 2023.</w:t>
      </w:r>
    </w:p>
    <w:p>
      <w:pPr>
        <w:pStyle w:val="Heading3"/>
      </w:pPr>
      <w:r>
        <w:rPr>
          <w:color w:val="2E75B6"/>
          <w:sz w:val="26"/>
        </w:rPr>
        <w:t>5.0 Financial Implications and Budgetary Allocation</w:t>
      </w:r>
    </w:p>
    <w:p>
      <w:r>
        <w:rPr>
          <w:color w:val="333333"/>
          <w:sz w:val="22"/>
        </w:rPr>
        <w:t>The aggregate estimated costs for utility infrastructure, including connection fees, on-site distribution, and off-site extensions, are summarized as follows:</w:t>
      </w:r>
    </w:p>
    <w:p>
      <w:pPr>
        <w:pStyle w:val="ListBullet"/>
        <w:ind w:left="720"/>
      </w:pPr>
      <w:r>
        <w:rPr>
          <w:b/>
          <w:color w:val="1F4E78"/>
          <w:sz w:val="22"/>
        </w:rPr>
        <w:t>Water SDC &amp; On-site:</w:t>
      </w:r>
      <w:r>
        <w:rPr>
          <w:color w:val="333333"/>
          <w:sz w:val="22"/>
        </w:rPr>
        <w:t xml:space="preserve"> $647,500 + $310,000 = $957,500</w:t>
      </w:r>
    </w:p>
    <w:p>
      <w:pPr>
        <w:pStyle w:val="ListBullet"/>
        <w:ind w:left="720"/>
      </w:pPr>
      <w:r>
        <w:rPr>
          <w:b/>
          <w:color w:val="1F4E78"/>
          <w:sz w:val="22"/>
        </w:rPr>
        <w:t>Sewer SDC &amp; On-site:</w:t>
      </w:r>
      <w:r>
        <w:rPr>
          <w:color w:val="333333"/>
          <w:sz w:val="22"/>
        </w:rPr>
        <w:t xml:space="preserve"> $560,000 + $485,000 = $1,045,000</w:t>
      </w:r>
    </w:p>
    <w:p>
      <w:pPr>
        <w:pStyle w:val="ListBullet"/>
        <w:ind w:left="720"/>
      </w:pPr>
      <w:r>
        <w:rPr>
          <w:b/>
          <w:color w:val="1F4E78"/>
          <w:sz w:val="22"/>
        </w:rPr>
        <w:t>Electrical Substation/Feeder (Net) &amp; On-site:</w:t>
      </w:r>
      <w:r>
        <w:rPr>
          <w:color w:val="333333"/>
          <w:sz w:val="22"/>
        </w:rPr>
        <w:t xml:space="preserve"> $800,000 + $520,000 = $1,320,000</w:t>
      </w:r>
    </w:p>
    <w:p>
      <w:pPr>
        <w:pStyle w:val="ListBullet"/>
        <w:ind w:left="720"/>
      </w:pPr>
      <w:r>
        <w:rPr>
          <w:b/>
          <w:color w:val="1F4E78"/>
          <w:sz w:val="22"/>
        </w:rPr>
        <w:t>Natural Gas Extension &amp; On-site:</w:t>
      </w:r>
      <w:r>
        <w:rPr>
          <w:color w:val="333333"/>
          <w:sz w:val="22"/>
        </w:rPr>
        <w:t xml:space="preserve"> $180,000 + $150,000 = $330,000</w:t>
      </w:r>
    </w:p>
    <w:p>
      <w:pPr>
        <w:pStyle w:val="ListBullet"/>
        <w:ind w:left="720"/>
      </w:pPr>
      <w:r>
        <w:rPr>
          <w:b/>
          <w:color w:val="1F4E78"/>
          <w:sz w:val="22"/>
        </w:rPr>
        <w:t>Telecommunications On-site:</w:t>
      </w:r>
      <w:r>
        <w:rPr>
          <w:color w:val="333333"/>
          <w:sz w:val="22"/>
        </w:rPr>
        <w:t xml:space="preserve"> $210,000</w:t>
      </w:r>
    </w:p>
    <w:p>
      <w:pPr>
        <w:pStyle w:val="ListBullet"/>
        <w:ind w:left="720"/>
      </w:pPr>
      <w:r>
        <w:rPr>
          <w:b/>
          <w:color w:val="1F4E78"/>
          <w:sz w:val="22"/>
        </w:rPr>
        <w:t>Total Estimated Utility Capital Expenditure:</w:t>
      </w:r>
      <w:r>
        <w:rPr>
          <w:color w:val="333333"/>
          <w:sz w:val="22"/>
        </w:rPr>
        <w:t xml:space="preserve"> </w:t>
      </w:r>
      <w:r>
        <w:rPr>
          <w:b/>
          <w:color w:val="1F4E78"/>
          <w:sz w:val="22"/>
        </w:rPr>
        <w:t>$3,862,500</w:t>
      </w:r>
    </w:p>
    <w:p>
      <w:r>
        <w:rPr>
          <w:color w:val="333333"/>
          <w:sz w:val="22"/>
        </w:rPr>
        <w:t xml:space="preserve">This total of </w:t>
      </w:r>
      <w:r>
        <w:rPr>
          <w:b/>
          <w:color w:val="1F4E78"/>
          <w:sz w:val="22"/>
        </w:rPr>
        <w:t>$3,862,500</w:t>
      </w:r>
      <w:r>
        <w:rPr>
          <w:color w:val="333333"/>
          <w:sz w:val="22"/>
        </w:rPr>
        <w:t xml:space="preserve"> represents approximately 5.94% of the total $65,000,000 project cost. Our review of the Developer's proforma and detailed budget confirms these line items are fully and adequately provisioned within the "Site Work" and "Utility Fees" categories of the project budget. Furthermore, a 10% contingency for all hard and soft costs, totaling $3,500,000, is included in the project budget, providing sufficient buffer for potential utility-related cost overruns or unforeseen conditions. The Developer has sufficient equity ($15,000,000) to cover initial utility-related expenditures prior to construction loan draws.</w:t>
      </w:r>
    </w:p>
    <w:p>
      <w:pPr>
        <w:pStyle w:val="Heading3"/>
      </w:pPr>
      <w:r>
        <w:rPr>
          <w:color w:val="2E75B6"/>
          <w:sz w:val="26"/>
        </w:rPr>
        <w:t>6.0 Risk Mitigation</w:t>
      </w:r>
    </w:p>
    <w:p>
      <w:r>
        <w:rPr>
          <w:color w:val="333333"/>
          <w:sz w:val="22"/>
        </w:rPr>
        <w:t xml:space="preserve">The primary risks associated with utilities for this project include: 1.  </w:t>
      </w:r>
      <w:r>
        <w:rPr>
          <w:b/>
          <w:color w:val="1F4E78"/>
          <w:sz w:val="22"/>
        </w:rPr>
        <w:t>Unexpected Subsurface Conditions:</w:t>
      </w:r>
      <w:r>
        <w:rPr>
          <w:color w:val="333333"/>
          <w:sz w:val="22"/>
        </w:rPr>
        <w:t xml:space="preserve"> Mitigation through detailed geotechnical surveys and a robust contingency budget. 2.  </w:t>
      </w:r>
      <w:r>
        <w:rPr>
          <w:b/>
          <w:color w:val="1F4E78"/>
          <w:sz w:val="22"/>
        </w:rPr>
        <w:t>Utility Provider Delays:</w:t>
      </w:r>
      <w:r>
        <w:rPr>
          <w:color w:val="333333"/>
          <w:sz w:val="22"/>
        </w:rPr>
        <w:t xml:space="preserve"> Mitigated by early engagement and execution of formal service agreements. Liquidated damages clauses in vendor contracts are standard. 3.  </w:t>
      </w:r>
      <w:r>
        <w:rPr>
          <w:b/>
          <w:color w:val="1F4E78"/>
          <w:sz w:val="22"/>
        </w:rPr>
        <w:t>Regulatory Changes:</w:t>
      </w:r>
      <w:r>
        <w:rPr>
          <w:color w:val="333333"/>
          <w:sz w:val="22"/>
        </w:rPr>
        <w:t xml:space="preserve"> Ongoing monitoring of municipal and state regulations; the project team has demonstrated proactive compliance.</w:t>
      </w:r>
    </w:p>
    <w:p>
      <w:pPr>
        <w:pStyle w:val="Heading3"/>
      </w:pPr>
      <w:r>
        <w:rPr>
          <w:color w:val="2E75B6"/>
          <w:sz w:val="26"/>
        </w:rPr>
        <w:t>7.0 Underwriter's Concluding Statement</w:t>
      </w:r>
    </w:p>
    <w:p>
      <w:r>
        <w:rPr>
          <w:color w:val="333333"/>
          <w:sz w:val="22"/>
        </w:rPr>
        <w:t>Based on the foregoing comprehensive due diligence, the Developer has demonstrated a robust and well-managed approach to securing all essential utility services for the So-Good Apartments project. All critical utility commitments, including water, sewer, electrical, and natural gas, are substantiated by formal agreements or availability certificates from the respective municipal or franchised providers. The associated costs are clearly delineated, properly budgeted, and financially absorbed within the total project cost.</w:t>
      </w:r>
    </w:p>
    <w:p>
      <w:r>
        <w:rPr>
          <w:color w:val="333333"/>
          <w:sz w:val="22"/>
        </w:rPr>
        <w:t xml:space="preserve">The execution and delivery of all aforementioned utility agreements, free of any material adverse conditions or encumbrances, is deemed a </w:t>
      </w:r>
      <w:r>
        <w:rPr>
          <w:b/>
          <w:color w:val="1F4E78"/>
          <w:sz w:val="22"/>
        </w:rPr>
        <w:t>Condition Precedent to Initial Funding (CPIF)</w:t>
      </w:r>
      <w:r>
        <w:rPr>
          <w:color w:val="333333"/>
          <w:sz w:val="22"/>
        </w:rPr>
        <w:t xml:space="preserve"> of the construction loan facility. Upon satisfaction of this and other CPIFs, the utility provisioning for So-Good Apartments is considered de-risked to an acceptable level for Synergy Capital Lending Solutions LLC.</w:t>
      </w:r>
    </w:p>
    <w:p>
      <w:r>
        <w:rPr>
          <w:color w:val="333333"/>
          <w:sz w:val="22"/>
        </w:rPr>
        <w:t>We recommend proceeding with the financial close, subject to the final review of all executed utility agreements and permits.</w:t>
      </w:r>
    </w:p>
    <w:p>
      <w:r>
        <w:rPr>
          <w:color w:val="333333"/>
          <w:sz w:val="22"/>
        </w:rPr>
        <w:t>Sincerely,</w:t>
      </w:r>
    </w:p>
    <w:p>
      <w:r>
        <w:rPr>
          <w:b/>
          <w:color w:val="1F4E78"/>
          <w:sz w:val="22"/>
        </w:rPr>
        <w:t>[Your Name]</w:t>
      </w:r>
      <w:r>
        <w:rPr>
          <w:color w:val="333333"/>
          <w:sz w:val="22"/>
        </w:rPr>
        <w:t xml:space="preserve"> Senior Underwriter &amp; Legal Counsel Synergy Capital Lending Solutions LLC Bar ID: [Assumed Bar 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