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ZONING VERIFICATION LETTER</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CAPITAL PROVIDENT BANK, N.A.</w:t>
      </w:r>
    </w:p>
    <w:p>
      <w:pPr>
        <w:pStyle w:val="Heading3"/>
      </w:pPr>
      <w:r>
        <w:rPr>
          <w:color w:val="2E75B6"/>
          <w:sz w:val="26"/>
        </w:rPr>
        <w:t>Commercial Real Estate Underwriting Division</w:t>
      </w:r>
    </w:p>
    <w:p>
      <w:pPr>
        <w:pStyle w:val="Heading3"/>
      </w:pPr>
      <w:r>
        <w:rPr>
          <w:color w:val="2E75B6"/>
          <w:sz w:val="26"/>
        </w:rPr>
        <w:t>123 Main Street, Suite 500</w:t>
      </w:r>
    </w:p>
    <w:p>
      <w:pPr>
        <w:pStyle w:val="Heading3"/>
      </w:pPr>
      <w:r>
        <w:rPr>
          <w:color w:val="2E75B6"/>
          <w:sz w:val="26"/>
        </w:rPr>
        <w:t>Anytown, Anystate 98765</w:t>
      </w:r>
    </w:p>
    <w:p>
      <w:pPr>
        <w:pStyle w:val="Heading3"/>
      </w:pPr>
      <w:r>
        <w:rPr>
          <w:color w:val="2E75B6"/>
          <w:sz w:val="26"/>
        </w:rPr>
        <w:t>Date: October 26, 2023</w:t>
      </w:r>
    </w:p>
    <w:p>
      <w:pPr>
        <w:pStyle w:val="Heading3"/>
      </w:pPr>
      <w:r>
        <w:rPr>
          <w:color w:val="2E75B6"/>
          <w:sz w:val="26"/>
        </w:rPr>
        <w:t>Via Certified Mail and Electronic Mail</w:t>
      </w:r>
    </w:p>
    <w:p>
      <w:pPr>
        <w:pStyle w:val="Heading3"/>
      </w:pPr>
      <w:r>
        <w:rPr>
          <w:color w:val="2E75B6"/>
          <w:sz w:val="26"/>
        </w:rPr>
        <w:t>City of Springfield Planning Department</w:t>
      </w:r>
    </w:p>
    <w:p>
      <w:pPr>
        <w:pStyle w:val="Heading3"/>
      </w:pPr>
      <w:r>
        <w:rPr>
          <w:color w:val="2E75B6"/>
          <w:sz w:val="26"/>
        </w:rPr>
        <w:t>Attn: Zoning Administrator</w:t>
      </w:r>
    </w:p>
    <w:p>
      <w:pPr>
        <w:pStyle w:val="Heading3"/>
      </w:pPr>
      <w:r>
        <w:rPr>
          <w:color w:val="2E75B6"/>
          <w:sz w:val="26"/>
        </w:rPr>
        <w:t>456 Government Plaza</w:t>
      </w:r>
    </w:p>
    <w:p>
      <w:pPr>
        <w:pStyle w:val="Heading3"/>
      </w:pPr>
      <w:r>
        <w:rPr>
          <w:color w:val="2E75B6"/>
          <w:sz w:val="26"/>
        </w:rPr>
        <w:t>Springfield, Anystate 12345</w:t>
      </w:r>
    </w:p>
    <w:p>
      <w:pPr>
        <w:pStyle w:val="Heading3"/>
      </w:pPr>
      <w:r>
        <w:rPr>
          <w:color w:val="2E75B6"/>
          <w:sz w:val="26"/>
        </w:rPr>
        <w:t>SUBJECT: Formal Request for Official Zoning Verification Letter - Proposed "So-Good Apartments" Multi-Family Development - APN: 12-34-56-789-012, 7.50 Acres, located at 789 Elmwood Avenue, Springfield, Anystate</w:t>
      </w:r>
    </w:p>
    <w:p>
      <w:r>
        <w:rPr>
          <w:color w:val="333333"/>
          <w:sz w:val="22"/>
        </w:rPr>
        <w:t>Dear Zoning Administrator,</w:t>
      </w:r>
    </w:p>
    <w:p>
      <w:r>
        <w:rPr>
          <w:color w:val="333333"/>
          <w:sz w:val="22"/>
        </w:rPr>
        <w:t>Capital Provident Bank, N.A. (hereinafter, "the Bank"), through its undersigned Senior Commercial Real Estate Underwriter and Legal Counsel, hereby formally requests an official and comprehensive Zoning Verification Letter pertaining to the real property identified below (hereinafter, "the Subject Property"). This request is made pursuant to the Bank’s rigorous due diligence protocols for a proposed $65,000,000.00 construction and permanent financing facility for the multi-family residential development project known as "So-Good Apartments." The information provided in response to this inquiry will be an indispensable component of the Bank's underwriting analysis, risk assessment, and ultimately, the loan approval process.</w:t>
      </w:r>
    </w:p>
    <w:p>
      <w:pPr>
        <w:pStyle w:val="Heading2"/>
      </w:pPr>
      <w:r>
        <w:rPr>
          <w:color w:val="2E75B6"/>
          <w:sz w:val="30"/>
        </w:rPr>
        <w:t>1. Subject Property Identification</w:t>
      </w:r>
    </w:p>
    <w:p>
      <w:r>
        <w:rPr>
          <w:color w:val="333333"/>
          <w:sz w:val="22"/>
        </w:rPr>
        <w:t>The Subject Property, owned by Evergreen Property Group LLC (hereinafter, "the Developer"), is legally described as:</w:t>
      </w:r>
    </w:p>
    <w:p>
      <w:r>
        <w:rPr>
          <w:b/>
          <w:color w:val="1F4E78"/>
          <w:sz w:val="22"/>
        </w:rPr>
        <w:t>Lot 1, Block 2, ELMWOOD ADDITION, according to the plat thereof recorded in Plat Book 7, Page 89, of the Public Records of Springfield County, Anystate.</w:t>
      </w:r>
    </w:p>
    <w:p>
      <w:r>
        <w:rPr>
          <w:b/>
          <w:color w:val="1F4E78"/>
          <w:sz w:val="22"/>
        </w:rPr>
        <w:t>Common Address:</w:t>
      </w:r>
      <w:r>
        <w:rPr>
          <w:color w:val="333333"/>
          <w:sz w:val="22"/>
        </w:rPr>
        <w:t xml:space="preserve"> 789 Elmwood Avenue, Springfield, Anystate</w:t>
      </w:r>
    </w:p>
    <w:p>
      <w:r>
        <w:rPr>
          <w:b/>
          <w:color w:val="1F4E78"/>
          <w:sz w:val="22"/>
        </w:rPr>
        <w:t>Assessor’s Parcel Number (APN):</w:t>
      </w:r>
      <w:r>
        <w:rPr>
          <w:color w:val="333333"/>
          <w:sz w:val="22"/>
        </w:rPr>
        <w:t xml:space="preserve"> 12-34-56-789-012</w:t>
      </w:r>
    </w:p>
    <w:p>
      <w:r>
        <w:rPr>
          <w:b/>
          <w:color w:val="1F4E78"/>
          <w:sz w:val="22"/>
        </w:rPr>
        <w:t>Total Site Area:</w:t>
      </w:r>
      <w:r>
        <w:rPr>
          <w:color w:val="333333"/>
          <w:sz w:val="22"/>
        </w:rPr>
        <w:t xml:space="preserve"> 7.50 Gross Acres (approximately 326,700 square feet)</w:t>
      </w:r>
    </w:p>
    <w:p>
      <w:r>
        <w:rPr>
          <w:color w:val="333333"/>
          <w:sz w:val="22"/>
        </w:rPr>
        <w:t>The Developer proposes to construct a 280-unit, Class A multi-family residential complex on the Subject Property, comprising a mix of one, two, and three-bedroom units across multiple structures, along with associated amenities, parking, and open space.</w:t>
      </w:r>
    </w:p>
    <w:p>
      <w:pPr>
        <w:pStyle w:val="Heading2"/>
      </w:pPr>
      <w:r>
        <w:rPr>
          <w:color w:val="2E75B6"/>
          <w:sz w:val="30"/>
        </w:rPr>
        <w:t>2. Specific Zoning Verification Inquiries</w:t>
      </w:r>
    </w:p>
    <w:p>
      <w:r>
        <w:rPr>
          <w:color w:val="333333"/>
          <w:sz w:val="22"/>
        </w:rPr>
        <w:t>The Bank respectfully requests official confirmation and detailed information, citing specific sections of the Springfield Municipal Code (hereinafter, "SMC") or other relevant ordinances, for each of the following matters as they pertain to the Subject Property and the proposed So-Good Apartments development:</w:t>
      </w:r>
    </w:p>
    <w:p>
      <w:pPr>
        <w:pStyle w:val="Heading3"/>
      </w:pPr>
      <w:r>
        <w:rPr>
          <w:color w:val="2E75B6"/>
          <w:sz w:val="26"/>
        </w:rPr>
        <w:t>2.1 Current Zoning Classification</w:t>
      </w:r>
    </w:p>
    <w:p>
      <w:pPr>
        <w:pStyle w:val="ListBullet"/>
        <w:ind w:left="720"/>
      </w:pPr>
      <w:r>
        <w:rPr>
          <w:b/>
          <w:color w:val="1F4E78"/>
          <w:sz w:val="22"/>
        </w:rPr>
        <w:t>Official Zoning Designation:</w:t>
      </w:r>
      <w:r>
        <w:rPr>
          <w:color w:val="333333"/>
          <w:sz w:val="22"/>
        </w:rPr>
        <w:t xml:space="preserve"> Please confirm the current official zoning district classification of the Subject Property (e.g., RM-3, C-2, etc.).</w:t>
      </w:r>
    </w:p>
    <w:p>
      <w:pPr>
        <w:pStyle w:val="ListBullet"/>
        <w:ind w:left="720"/>
      </w:pPr>
      <w:r>
        <w:rPr>
          <w:b/>
          <w:color w:val="1F4E78"/>
          <w:sz w:val="22"/>
        </w:rPr>
        <w:t>Overlay Districts:</w:t>
      </w:r>
      <w:r>
        <w:rPr>
          <w:color w:val="333333"/>
          <w:sz w:val="22"/>
        </w:rPr>
        <w:t xml:space="preserve"> Identify and describe any applicable overlay zones, special districts, or classifications that affect the Subject Property (e.g., Historic District, Floodplain Overlay, Airport Impact Zone, Transit-Oriented Development Zone).</w:t>
      </w:r>
    </w:p>
    <w:p>
      <w:pPr>
        <w:pStyle w:val="Heading3"/>
      </w:pPr>
      <w:r>
        <w:rPr>
          <w:color w:val="2E75B6"/>
          <w:sz w:val="26"/>
        </w:rPr>
        <w:t>2.2 Permitted Uses and Development Standards</w:t>
      </w:r>
    </w:p>
    <w:p>
      <w:pPr>
        <w:pStyle w:val="ListBullet"/>
        <w:ind w:left="720"/>
      </w:pPr>
      <w:r>
        <w:rPr>
          <w:b/>
          <w:color w:val="1F4E78"/>
          <w:sz w:val="22"/>
        </w:rPr>
        <w:t>Multi-Family Residential Use:</w:t>
      </w:r>
    </w:p>
    <w:p>
      <w:pPr>
        <w:pStyle w:val="ListBullet"/>
        <w:ind w:left="1080"/>
      </w:pPr>
      <w:r>
        <w:rPr>
          <w:color w:val="333333"/>
          <w:sz w:val="22"/>
        </w:rPr>
        <w:t xml:space="preserve">Is multi-family residential development, as described (280 units), a permitted use </w:t>
      </w:r>
      <w:r>
        <w:rPr>
          <w:b/>
          <w:color w:val="1F4E78"/>
          <w:sz w:val="22"/>
        </w:rPr>
        <w:t>by right</w:t>
      </w:r>
      <w:r>
        <w:rPr>
          <w:color w:val="333333"/>
          <w:sz w:val="22"/>
        </w:rPr>
        <w:t xml:space="preserve">, a </w:t>
      </w:r>
      <w:r>
        <w:rPr>
          <w:b/>
          <w:color w:val="1F4E78"/>
          <w:sz w:val="22"/>
        </w:rPr>
        <w:t>conditional use</w:t>
      </w:r>
      <w:r>
        <w:rPr>
          <w:color w:val="333333"/>
          <w:sz w:val="22"/>
        </w:rPr>
        <w:t xml:space="preserve">, a </w:t>
      </w:r>
      <w:r>
        <w:rPr>
          <w:b/>
          <w:color w:val="1F4E78"/>
          <w:sz w:val="22"/>
        </w:rPr>
        <w:t>special exception</w:t>
      </w:r>
      <w:r>
        <w:rPr>
          <w:color w:val="333333"/>
          <w:sz w:val="22"/>
        </w:rPr>
        <w:t>, or prohibited within the Subject Property’s current zoning district?</w:t>
      </w:r>
    </w:p>
    <w:p>
      <w:pPr>
        <w:pStyle w:val="ListBullet"/>
        <w:ind w:left="1080"/>
      </w:pPr>
      <w:r>
        <w:rPr>
          <w:color w:val="333333"/>
          <w:sz w:val="22"/>
        </w:rPr>
        <w:t>If conditional or special, enumerate all specific conditions, permits, or approvals required for the proposed use.</w:t>
      </w:r>
    </w:p>
    <w:p>
      <w:pPr>
        <w:pStyle w:val="ListBullet"/>
        <w:ind w:left="720"/>
      </w:pPr>
      <w:r>
        <w:rPr>
          <w:b/>
          <w:color w:val="1F4E78"/>
          <w:sz w:val="22"/>
        </w:rPr>
        <w:t>Density Regulations (SMC Chapter 17.32.040 - Density):</w:t>
      </w:r>
    </w:p>
    <w:p>
      <w:pPr>
        <w:pStyle w:val="ListBullet"/>
        <w:ind w:left="1080"/>
      </w:pPr>
      <w:r>
        <w:rPr>
          <w:color w:val="333333"/>
          <w:sz w:val="22"/>
        </w:rPr>
        <w:t>What is the maximum allowable residential density for the Subject Property in units per acre?</w:t>
      </w:r>
    </w:p>
    <w:p>
      <w:pPr>
        <w:pStyle w:val="ListBullet"/>
        <w:ind w:left="1080"/>
      </w:pPr>
      <w:r>
        <w:rPr>
          <w:color w:val="333333"/>
          <w:sz w:val="22"/>
        </w:rPr>
        <w:t>Based on the Subject Property's 7.50 acres and proposed 280 units, does the proposed development comply with the maximum allowable density?</w:t>
      </w:r>
    </w:p>
    <w:p>
      <w:pPr>
        <w:pStyle w:val="ListBullet"/>
        <w:ind w:left="720"/>
      </w:pPr>
      <w:r>
        <w:rPr>
          <w:b/>
          <w:color w:val="1F4E78"/>
          <w:sz w:val="22"/>
        </w:rPr>
        <w:t>Building Height Limits (SMC Chapter 17.32.050 - Height):</w:t>
      </w:r>
    </w:p>
    <w:p>
      <w:pPr>
        <w:pStyle w:val="ListBullet"/>
        <w:ind w:left="1080"/>
      </w:pPr>
      <w:r>
        <w:rPr>
          <w:color w:val="333333"/>
          <w:sz w:val="22"/>
        </w:rPr>
        <w:t>What is the maximum allowable building height in feet and/or stories for primary structures and accessory structures within the Subject Property’s zoning district?</w:t>
      </w:r>
    </w:p>
    <w:p>
      <w:pPr>
        <w:pStyle w:val="ListBullet"/>
        <w:ind w:left="1080"/>
      </w:pPr>
      <w:r>
        <w:rPr>
          <w:color w:val="333333"/>
          <w:sz w:val="22"/>
        </w:rPr>
        <w:t>Are there any specific setbacks or step-backs required for buildings exceeding certain heights?</w:t>
      </w:r>
    </w:p>
    <w:p>
      <w:pPr>
        <w:pStyle w:val="ListBullet"/>
        <w:ind w:left="720"/>
      </w:pPr>
      <w:r>
        <w:rPr>
          <w:b/>
          <w:color w:val="1F4E78"/>
          <w:sz w:val="22"/>
        </w:rPr>
        <w:t>Setback Requirements (SMC Chapter 17.32.060 - Setbacks):</w:t>
      </w:r>
    </w:p>
    <w:p>
      <w:pPr>
        <w:pStyle w:val="ListBullet"/>
        <w:ind w:left="1080"/>
      </w:pPr>
      <w:r>
        <w:rPr>
          <w:color w:val="333333"/>
          <w:sz w:val="22"/>
        </w:rPr>
        <w:t>Please specify the minimum required front, side (interior and street-facing), and rear yard setbacks for primary structures.</w:t>
      </w:r>
    </w:p>
    <w:p>
      <w:pPr>
        <w:pStyle w:val="ListBullet"/>
        <w:ind w:left="1080"/>
      </w:pPr>
      <w:r>
        <w:rPr>
          <w:color w:val="333333"/>
          <w:sz w:val="22"/>
        </w:rPr>
        <w:t>Are there different setback requirements for accessory structures, parking areas, or specific building elements (e.g., balconies, eaves)?</w:t>
      </w:r>
    </w:p>
    <w:p>
      <w:pPr>
        <w:pStyle w:val="ListBullet"/>
        <w:ind w:left="1080"/>
      </w:pPr>
      <w:r>
        <w:rPr>
          <w:color w:val="333333"/>
          <w:sz w:val="22"/>
        </w:rPr>
        <w:t>Confirm compliance with the proposed project's anticipated setbacks: 25 feet front, 15 feet interior side, 20 feet rear, and 20 feet street-facing side.</w:t>
      </w:r>
    </w:p>
    <w:p>
      <w:pPr>
        <w:pStyle w:val="ListBullet"/>
        <w:ind w:left="720"/>
      </w:pPr>
      <w:r>
        <w:rPr>
          <w:b/>
          <w:color w:val="1F4E78"/>
          <w:sz w:val="22"/>
        </w:rPr>
        <w:t>Lot Coverage &amp; Floor Area Ratio (FAR) (SMC Chapter 17.32.070 - Coverage &amp; FAR):</w:t>
      </w:r>
    </w:p>
    <w:p>
      <w:pPr>
        <w:pStyle w:val="ListBullet"/>
        <w:ind w:left="1080"/>
      </w:pPr>
      <w:r>
        <w:rPr>
          <w:color w:val="333333"/>
          <w:sz w:val="22"/>
        </w:rPr>
        <w:t>What is the maximum allowable percentage of lot coverage by all structures?</w:t>
      </w:r>
    </w:p>
    <w:p>
      <w:pPr>
        <w:pStyle w:val="ListBullet"/>
        <w:ind w:left="1080"/>
      </w:pPr>
      <w:r>
        <w:rPr>
          <w:color w:val="333333"/>
          <w:sz w:val="22"/>
        </w:rPr>
        <w:t>What is the maximum allowable Floor Area Ratio (FAR) for the Subject Property?</w:t>
      </w:r>
    </w:p>
    <w:p>
      <w:pPr>
        <w:pStyle w:val="ListBullet"/>
        <w:ind w:left="1080"/>
      </w:pPr>
      <w:r>
        <w:rPr>
          <w:color w:val="333333"/>
          <w:sz w:val="22"/>
        </w:rPr>
        <w:t>Confirm that the proposed project's projected lot coverage (approximately 48%) and FAR (approximately 1.35) are in compliance.</w:t>
      </w:r>
    </w:p>
    <w:p>
      <w:pPr>
        <w:pStyle w:val="ListBullet"/>
        <w:ind w:left="720"/>
      </w:pPr>
      <w:r>
        <w:rPr>
          <w:b/>
          <w:color w:val="1F4E78"/>
          <w:sz w:val="22"/>
        </w:rPr>
        <w:t>Open Space Requirements (SMC Chapter 17.32.080 - Open Space):</w:t>
      </w:r>
    </w:p>
    <w:p>
      <w:pPr>
        <w:pStyle w:val="ListBullet"/>
        <w:ind w:left="1080"/>
      </w:pPr>
      <w:r>
        <w:rPr>
          <w:color w:val="333333"/>
          <w:sz w:val="22"/>
        </w:rPr>
        <w:t>What is the minimum required percentage of open space (common and private) for the proposed development?</w:t>
      </w:r>
    </w:p>
    <w:p>
      <w:pPr>
        <w:pStyle w:val="ListBullet"/>
        <w:ind w:left="1080"/>
      </w:pPr>
      <w:r>
        <w:rPr>
          <w:color w:val="333333"/>
          <w:sz w:val="22"/>
        </w:rPr>
        <w:t>Specify any requirements for usable open space, active recreational areas, or landscape areas.</w:t>
      </w:r>
    </w:p>
    <w:p>
      <w:pPr>
        <w:pStyle w:val="ListBullet"/>
        <w:ind w:left="720"/>
      </w:pPr>
      <w:r>
        <w:rPr>
          <w:b/>
          <w:color w:val="1F4E78"/>
          <w:sz w:val="22"/>
        </w:rPr>
        <w:t>Parking Requirements (SMC Chapter 17.48.030 - Parking Standards):</w:t>
      </w:r>
    </w:p>
    <w:p>
      <w:pPr>
        <w:pStyle w:val="ListBullet"/>
        <w:ind w:left="1080"/>
      </w:pPr>
      <w:r>
        <w:rPr>
          <w:color w:val="333333"/>
          <w:sz w:val="22"/>
        </w:rPr>
        <w:t>Enumerate the minimum required parking spaces per dwelling unit type (e.g., 1-bedroom, 2-bedroom, 3-bedroom).</w:t>
      </w:r>
    </w:p>
    <w:p>
      <w:pPr>
        <w:pStyle w:val="ListBullet"/>
        <w:ind w:left="1080"/>
      </w:pPr>
      <w:r>
        <w:rPr>
          <w:color w:val="333333"/>
          <w:sz w:val="22"/>
        </w:rPr>
        <w:t>Specify requirements for guest parking, accessible parking spaces (ADA compliance), motorcycle parking, and bicycle parking.</w:t>
      </w:r>
    </w:p>
    <w:p>
      <w:pPr>
        <w:pStyle w:val="ListBullet"/>
        <w:ind w:left="1080"/>
      </w:pPr>
      <w:r>
        <w:rPr>
          <w:color w:val="333333"/>
          <w:sz w:val="22"/>
        </w:rPr>
        <w:t>Are there any provisions for parking reductions or shared parking agreements?</w:t>
      </w:r>
    </w:p>
    <w:p>
      <w:pPr>
        <w:pStyle w:val="ListBullet"/>
        <w:ind w:left="1080"/>
      </w:pPr>
      <w:r>
        <w:rPr>
          <w:color w:val="333333"/>
          <w:sz w:val="22"/>
        </w:rPr>
        <w:t>Confirm the proposed project’s parking ratio (approximately 1.75 spaces per unit overall, including guest and accessible) satisfies the SMC requirements.</w:t>
      </w:r>
    </w:p>
    <w:p>
      <w:pPr>
        <w:pStyle w:val="ListBullet"/>
        <w:ind w:left="720"/>
      </w:pPr>
      <w:r>
        <w:rPr>
          <w:b/>
          <w:color w:val="1F4E78"/>
          <w:sz w:val="22"/>
        </w:rPr>
        <w:t>Landscaping and Buffering Requirements (SMC Chapter 17.52.060 - Landscaping):</w:t>
      </w:r>
    </w:p>
    <w:p>
      <w:pPr>
        <w:pStyle w:val="ListBullet"/>
        <w:ind w:left="1080"/>
      </w:pPr>
      <w:r>
        <w:rPr>
          <w:color w:val="333333"/>
          <w:sz w:val="22"/>
        </w:rPr>
        <w:t>Describe the landscaping and buffering requirements, particularly along property lines adjacent to differing zoning districts or public rights-of-way.</w:t>
      </w:r>
    </w:p>
    <w:p>
      <w:pPr>
        <w:pStyle w:val="ListBullet"/>
        <w:ind w:left="1080"/>
      </w:pPr>
      <w:r>
        <w:rPr>
          <w:color w:val="333333"/>
          <w:sz w:val="22"/>
        </w:rPr>
        <w:t>Specify requirements for tree preservation, planting new trees, and screening.</w:t>
      </w:r>
    </w:p>
    <w:p>
      <w:pPr>
        <w:pStyle w:val="ListBullet"/>
        <w:ind w:left="720"/>
      </w:pPr>
      <w:r>
        <w:rPr>
          <w:b/>
          <w:color w:val="1F4E78"/>
          <w:sz w:val="22"/>
        </w:rPr>
        <w:t>Signage Regulations (SMC Chapter 17.56.090 - Signage):</w:t>
      </w:r>
    </w:p>
    <w:p>
      <w:pPr>
        <w:pStyle w:val="ListBullet"/>
        <w:ind w:left="1080"/>
      </w:pPr>
      <w:r>
        <w:rPr>
          <w:color w:val="333333"/>
          <w:sz w:val="22"/>
        </w:rPr>
        <w:t>What are the limitations on the number, size, height, and type of signs permitted for a multi-family development in this district?</w:t>
      </w:r>
    </w:p>
    <w:p>
      <w:pPr>
        <w:pStyle w:val="ListBullet"/>
        <w:ind w:left="720"/>
      </w:pPr>
      <w:r>
        <w:rPr>
          <w:b/>
          <w:color w:val="1F4E78"/>
          <w:sz w:val="22"/>
        </w:rPr>
        <w:t>Architectural Review:</w:t>
      </w:r>
      <w:r>
        <w:rPr>
          <w:color w:val="333333"/>
          <w:sz w:val="22"/>
        </w:rPr>
        <w:t xml:space="preserve"> Is the proposed development subject to architectural review by any city board or commission (e.g., Design Review Board, Historic Preservation Board)? If so, please outline the process and approval criteria.</w:t>
      </w:r>
    </w:p>
    <w:p>
      <w:pPr>
        <w:pStyle w:val="Heading3"/>
      </w:pPr>
      <w:r>
        <w:rPr>
          <w:color w:val="2E75B6"/>
          <w:sz w:val="26"/>
        </w:rPr>
        <w:t>2.3 Concurrency and Infrastructure Availability</w:t>
      </w:r>
    </w:p>
    <w:p>
      <w:pPr>
        <w:pStyle w:val="ListBullet"/>
        <w:ind w:left="720"/>
      </w:pPr>
      <w:r>
        <w:rPr>
          <w:b/>
          <w:color w:val="1F4E78"/>
          <w:sz w:val="22"/>
        </w:rPr>
        <w:t>Utility Services:</w:t>
      </w:r>
      <w:r>
        <w:rPr>
          <w:color w:val="333333"/>
          <w:sz w:val="22"/>
        </w:rPr>
        <w:t xml:space="preserve"> Please confirm that adequate capacity exists and is available from the City of Springfield and/or relevant utility providers for water, sanitary sewer, storm sewer, electric power, natural gas, and telecommunications to serve the proposed 280-unit multi-family development.</w:t>
      </w:r>
    </w:p>
    <w:p>
      <w:pPr>
        <w:pStyle w:val="ListBullet"/>
        <w:ind w:left="720"/>
      </w:pPr>
      <w:r>
        <w:rPr>
          <w:b/>
          <w:color w:val="1F4E78"/>
          <w:sz w:val="22"/>
        </w:rPr>
        <w:t>Transportation Concurrency:</w:t>
      </w:r>
      <w:r>
        <w:rPr>
          <w:color w:val="333333"/>
          <w:sz w:val="22"/>
        </w:rPr>
        <w:t xml:space="preserve"> Confirm that the proposed development meets all transportation concurrency requirements under SMC Chapter 17.72.030 or other applicable regulations.</w:t>
      </w:r>
    </w:p>
    <w:p>
      <w:pPr>
        <w:pStyle w:val="ListBullet"/>
        <w:ind w:left="720"/>
      </w:pPr>
      <w:r>
        <w:rPr>
          <w:b/>
          <w:color w:val="1F4E78"/>
          <w:sz w:val="22"/>
        </w:rPr>
        <w:t>Impact Fees:</w:t>
      </w:r>
      <w:r>
        <w:rPr>
          <w:color w:val="333333"/>
          <w:sz w:val="22"/>
        </w:rPr>
        <w:t xml:space="preserve"> Identify all applicable development impact fees (e.g., transportation, parks, water, sewer, school, fire) and provide a fee schedule or methodology for their calculation.</w:t>
      </w:r>
    </w:p>
    <w:p>
      <w:pPr>
        <w:pStyle w:val="Heading3"/>
      </w:pPr>
      <w:r>
        <w:rPr>
          <w:color w:val="2E75B6"/>
          <w:sz w:val="26"/>
        </w:rPr>
        <w:t>2.4 Status of Subject Property and Zoning Compliance</w:t>
      </w:r>
    </w:p>
    <w:p>
      <w:pPr>
        <w:pStyle w:val="ListBullet"/>
        <w:ind w:left="720"/>
      </w:pPr>
      <w:r>
        <w:rPr>
          <w:b/>
          <w:color w:val="1F4E78"/>
          <w:sz w:val="22"/>
        </w:rPr>
        <w:t>Legal Lot of Record:</w:t>
      </w:r>
      <w:r>
        <w:rPr>
          <w:color w:val="333333"/>
          <w:sz w:val="22"/>
        </w:rPr>
        <w:t xml:space="preserve"> Is the Subject Property a legally established lot of record, created in conformity with applicable subdivision regulations?</w:t>
      </w:r>
    </w:p>
    <w:p>
      <w:pPr>
        <w:pStyle w:val="ListBullet"/>
        <w:ind w:left="720"/>
      </w:pPr>
      <w:r>
        <w:rPr>
          <w:b/>
          <w:color w:val="1F4E78"/>
          <w:sz w:val="22"/>
        </w:rPr>
        <w:t>Non-Conforming Status:</w:t>
      </w:r>
      <w:r>
        <w:rPr>
          <w:color w:val="333333"/>
          <w:sz w:val="22"/>
        </w:rPr>
        <w:t xml:space="preserve"> Are there any existing structures or uses on the Subject Property that are considered legally non-conforming with respect to the current zoning district?</w:t>
      </w:r>
    </w:p>
    <w:p>
      <w:pPr>
        <w:pStyle w:val="ListBullet"/>
        <w:ind w:left="720"/>
      </w:pPr>
      <w:r>
        <w:rPr>
          <w:b/>
          <w:color w:val="1F4E78"/>
          <w:sz w:val="22"/>
        </w:rPr>
        <w:t>Outstanding Violations:</w:t>
      </w:r>
      <w:r>
        <w:rPr>
          <w:color w:val="333333"/>
          <w:sz w:val="22"/>
        </w:rPr>
        <w:t xml:space="preserve"> Are there any open or unresolved zoning violations, code enforcement actions, or unpermitted structures on record pertaining to the Subject Property?</w:t>
      </w:r>
    </w:p>
    <w:p>
      <w:pPr>
        <w:pStyle w:val="ListBullet"/>
        <w:ind w:left="720"/>
      </w:pPr>
      <w:r>
        <w:rPr>
          <w:b/>
          <w:color w:val="1F4E78"/>
          <w:sz w:val="22"/>
        </w:rPr>
        <w:t>Pending Zoning Changes:</w:t>
      </w:r>
      <w:r>
        <w:rPr>
          <w:color w:val="333333"/>
          <w:sz w:val="22"/>
        </w:rPr>
        <w:t xml:space="preserve"> Is the City of Springfield contemplating or actively processing any amendments to the Comprehensive Plan or Zoning Ordinance that would impact the Subject Property or its permitted uses and development standards? Please disclose any proposed rezonings, text amendments, or moratoria.</w:t>
      </w:r>
    </w:p>
    <w:p>
      <w:pPr>
        <w:pStyle w:val="ListBullet"/>
        <w:ind w:left="720"/>
      </w:pPr>
      <w:r>
        <w:rPr>
          <w:b/>
          <w:color w:val="1F4E78"/>
          <w:sz w:val="22"/>
        </w:rPr>
        <w:t>Comprehensive Plan Consistency:</w:t>
      </w:r>
      <w:r>
        <w:rPr>
          <w:color w:val="333333"/>
          <w:sz w:val="22"/>
        </w:rPr>
        <w:t xml:space="preserve"> Is the current zoning district and the proposed multi-family development consistent with the adopted Springfield Comprehensive Plan 2040 Future Land Use Map designation for the Subject Property?</w:t>
      </w:r>
    </w:p>
    <w:p>
      <w:pPr>
        <w:pStyle w:val="Heading3"/>
      </w:pPr>
      <w:r>
        <w:rPr>
          <w:color w:val="2E75B6"/>
          <w:sz w:val="26"/>
        </w:rPr>
        <w:t>2.5 Required Entitlements and Approvals</w:t>
      </w:r>
    </w:p>
    <w:p>
      <w:pPr>
        <w:pStyle w:val="ListBullet"/>
        <w:ind w:left="720"/>
      </w:pPr>
      <w:r>
        <w:rPr>
          <w:b/>
          <w:color w:val="1F4E78"/>
          <w:sz w:val="22"/>
        </w:rPr>
        <w:t>Required Permits:</w:t>
      </w:r>
      <w:r>
        <w:rPr>
          <w:color w:val="333333"/>
          <w:sz w:val="22"/>
        </w:rPr>
        <w:t xml:space="preserve"> Beyond standard building permits, please list all major land use and development approvals required by the City of Springfield for the construction of a 280-unit multi-family project on the Subject Property (e.g., Site Plan Review, Conditional Use Permit, Planned Unit Development (PUD) Amendment, Variances).</w:t>
      </w:r>
    </w:p>
    <w:p>
      <w:pPr>
        <w:pStyle w:val="ListBullet"/>
        <w:ind w:left="720"/>
      </w:pPr>
      <w:r>
        <w:rPr>
          <w:b/>
          <w:color w:val="1F4E78"/>
          <w:sz w:val="22"/>
        </w:rPr>
        <w:t>Approval Process:</w:t>
      </w:r>
      <w:r>
        <w:rPr>
          <w:color w:val="333333"/>
          <w:sz w:val="22"/>
        </w:rPr>
        <w:t xml:space="preserve"> Provide an outline of the typical approval process, including required applications, public hearing requirements, and responsible municipal bodies for each identified permit or approval.</w:t>
      </w:r>
    </w:p>
    <w:p>
      <w:pPr>
        <w:pStyle w:val="Heading2"/>
      </w:pPr>
      <w:r>
        <w:rPr>
          <w:color w:val="2E75B6"/>
          <w:sz w:val="30"/>
        </w:rPr>
        <w:t>3. Underwriting Rationale and Reliance</w:t>
      </w:r>
    </w:p>
    <w:p>
      <w:r>
        <w:rPr>
          <w:color w:val="333333"/>
          <w:sz w:val="22"/>
        </w:rPr>
        <w:t>The Bank is committing significant capital – a $65,000,000.00 loan – to the So-Good Apartments project. The accuracy and completeness of the zoning information requested herein are paramount to our ability to assess the project’s legal viability, market risk, and overall financial feasibility. The Bank will rely substantially on your official written response to confirm that the proposed development is permissible and can be legally constructed and operated as planned, in full compliance with all applicable zoning and land use regulations of the City of Springfield. Any discrepancy, non-compliance, or uncertainty could materially impact the Bank's decision to proceed with the financing.</w:t>
      </w:r>
    </w:p>
    <w:p>
      <w:pPr>
        <w:pStyle w:val="Heading2"/>
      </w:pPr>
      <w:r>
        <w:rPr>
          <w:color w:val="2E75B6"/>
          <w:sz w:val="30"/>
        </w:rPr>
        <w:t>4. Request for Official Response and Contact Information</w:t>
      </w:r>
    </w:p>
    <w:p>
      <w:r>
        <w:rPr>
          <w:color w:val="333333"/>
          <w:sz w:val="22"/>
        </w:rPr>
        <w:t>We kindly request that your office provide a formal, written Zoning Verification Letter, on official City of Springfield Planning Department letterhead, addressing each of the specific inquiries outlined in Section 2 of this request. Please include relevant citations to the Springfield Municipal Code or other applicable ordinances. We appreciate your prompt attention to this matter and request that the response be issued within fifteen (15) business days of the date of this letter, if possible, to facilitate our underwriting timeline.</w:t>
      </w:r>
    </w:p>
    <w:p>
      <w:r>
        <w:rPr>
          <w:color w:val="333333"/>
          <w:sz w:val="22"/>
        </w:rPr>
        <w:t>Please direct all correspondence and inquiries related to this request to the undersigned:</w:t>
      </w:r>
    </w:p>
    <w:p>
      <w:r>
        <w:rPr>
          <w:b/>
          <w:color w:val="1F4E78"/>
          <w:sz w:val="22"/>
        </w:rPr>
        <w:t>[Your Name/Title - Acting as Senior Underwriter/Legal Expert]</w:t>
      </w:r>
      <w:r>
        <w:rPr>
          <w:color w:val="333333"/>
          <w:sz w:val="22"/>
        </w:rPr>
        <w:t xml:space="preserve"> </w:t>
      </w:r>
      <w:r>
        <w:rPr>
          <w:b/>
          <w:color w:val="1F4E78"/>
          <w:sz w:val="22"/>
        </w:rPr>
        <w:t>Senior Commercial Real Estate Underwriter &amp; Legal Counsel</w:t>
      </w:r>
      <w:r>
        <w:rPr>
          <w:color w:val="333333"/>
          <w:sz w:val="22"/>
        </w:rPr>
        <w:t xml:space="preserve"> </w:t>
      </w:r>
      <w:r>
        <w:rPr>
          <w:b/>
          <w:color w:val="1F4E78"/>
          <w:sz w:val="22"/>
        </w:rPr>
        <w:t>Capital Provident Bank, N.A.</w:t>
      </w:r>
      <w:r>
        <w:rPr>
          <w:color w:val="333333"/>
          <w:sz w:val="22"/>
        </w:rPr>
        <w:t xml:space="preserve"> </w:t>
      </w:r>
      <w:r>
        <w:rPr>
          <w:b/>
          <w:color w:val="1F4E78"/>
          <w:sz w:val="22"/>
        </w:rPr>
        <w:t>123 Main Street, Suite 500</w:t>
      </w:r>
      <w:r>
        <w:rPr>
          <w:color w:val="333333"/>
          <w:sz w:val="22"/>
        </w:rPr>
        <w:t xml:space="preserve"> </w:t>
      </w:r>
      <w:r>
        <w:rPr>
          <w:b/>
          <w:color w:val="1F4E78"/>
          <w:sz w:val="22"/>
        </w:rPr>
        <w:t>Anytown, Anystate 98765</w:t>
      </w:r>
      <w:r>
        <w:rPr>
          <w:color w:val="333333"/>
          <w:sz w:val="22"/>
        </w:rPr>
        <w:t xml:space="preserve"> </w:t>
      </w:r>
      <w:r>
        <w:rPr>
          <w:b/>
          <w:color w:val="1F4E78"/>
          <w:sz w:val="22"/>
        </w:rPr>
        <w:t>Phone: (555) 123-4567</w:t>
      </w:r>
      <w:r>
        <w:rPr>
          <w:color w:val="333333"/>
          <w:sz w:val="22"/>
        </w:rPr>
        <w:t xml:space="preserve"> </w:t>
      </w:r>
      <w:r>
        <w:rPr>
          <w:b/>
          <w:color w:val="1F4E78"/>
          <w:sz w:val="22"/>
        </w:rPr>
        <w:t>Email: [your.email@capitalprovident.com]</w:t>
      </w:r>
    </w:p>
    <w:p>
      <w:r>
        <w:rPr>
          <w:color w:val="333333"/>
          <w:sz w:val="22"/>
        </w:rPr>
        <w:t>We appreciate the City of Springfield Planning Department's assistance and cooperation in this critical phase of our due diligence.</w:t>
      </w:r>
    </w:p>
    <w:p>
      <w:r>
        <w:rPr>
          <w:color w:val="333333"/>
          <w:sz w:val="22"/>
        </w:rPr>
        <w:t>Sincerely,</w:t>
      </w:r>
    </w:p>
    <w:p>
      <w:r>
        <w:rPr>
          <w:b/>
          <w:color w:val="1F4E78"/>
          <w:sz w:val="22"/>
        </w:rPr>
        <w:t>[Signature Block]</w:t>
      </w:r>
    </w:p>
    <w:p>
      <w:r>
        <w:rPr>
          <w:b/>
          <w:color w:val="1F4E78"/>
          <w:sz w:val="22"/>
        </w:rPr>
        <w:t>[Your Name - Acting as Senior Underwriter/Legal Expert]</w:t>
      </w:r>
      <w:r>
        <w:rPr>
          <w:color w:val="333333"/>
          <w:sz w:val="22"/>
        </w:rPr>
        <w:t xml:space="preserve"> </w:t>
      </w:r>
      <w:r>
        <w:rPr>
          <w:b/>
          <w:color w:val="1F4E78"/>
          <w:sz w:val="22"/>
        </w:rPr>
        <w:t>Senior Commercial Real Estate Underwriter &amp; Legal Counsel</w:t>
      </w:r>
      <w:r>
        <w:rPr>
          <w:color w:val="333333"/>
          <w:sz w:val="22"/>
        </w:rPr>
        <w:t xml:space="preserve"> </w:t>
      </w:r>
      <w:r>
        <w:rPr>
          <w:b/>
          <w:color w:val="1F4E78"/>
          <w:sz w:val="22"/>
        </w:rPr>
        <w:t>Capital Provident Bank, N.A.</w:t>
      </w:r>
    </w:p>
    <w:p>
      <w:pPr>
        <w:jc w:val="center"/>
      </w:pPr>
      <w:r>
        <w:rPr>
          <w:color w:val="CCCCCC"/>
          <w:sz w:val="12"/>
        </w:rPr>
        <w:t>────────────────────────────────────────────────────────────────────────────────</w:t>
      </w:r>
    </w:p>
    <w:p>
      <w:r>
        <w:rPr>
          <w:b/>
          <w:color w:val="1F4E78"/>
          <w:sz w:val="22"/>
        </w:rPr>
        <w:t>Disclaimer:</w:t>
      </w:r>
      <w:r>
        <w:rPr>
          <w:color w:val="333333"/>
          <w:sz w:val="22"/>
        </w:rPr>
        <w:t xml:space="preserve"> This request for zoning verification is made for the exclusive purpose of assessing the eligibility of the Subject Property for commercial financing. The information provided by the City of Springfield Planning Department in response to this letter is understood to be based upon the City's records and interpretations of applicable ordinances as of the date of the response. Capital Provident Bank, N.A. and its affiliates, successors, and assigns shall not hold the City of Springfield, its officers, employees, or agents liable for any errors, omissions, or subsequent changes in zoning ordinances or interpretations thereof, provided such information was provided in good faith. This request does not waive any rights of the Developer to seek interpretations, amendments, or variances from the City of Springfield or other governmental authorities.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