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Full Dataset Accuracy vs. Structural Complexity</w:t>
      </w:r>
    </w:p>
    <w:p>
      <w:r>
        <w:t>This report is based on the **entire test dataset** (~3,100 pairs), providing the most accurate scientific representation of how sentence length disparities impact the model's paraphrase detection capability.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represents:</w:t>
      </w:r>
    </w:p>
    <w:p>
      <w:r>
        <w:t>The X-axis shows the exact word count difference between the two input paragraphs. The primary bars show the average accuracy for that specific mismatch level. The (n=X) labels indicate the sample size for each bucket, and the blue trendline shows the overall smoothed performance direction.</w:t>
      </w:r>
    </w:p>
    <w:p>
      <w:pPr>
        <w:pStyle w:val="Heading1"/>
      </w:pPr>
      <w:r>
        <w:t>Importance and Project Insights:</w:t>
      </w:r>
    </w:p>
    <w:p>
      <w:r>
        <w:t>By analyzing the full dataset, we can observe that while SBERT is incredibly robust, performance does show a gradual, statistically significant decline as the structural mismatch increases. This identifies the model's limit: when one paragraph is substantially longer (20+ words) than the other, the semantic 'focus' shifts, making perfect paraphrase detection more challenging. This transparency is vital for real-world deployment considerations.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