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Visual Analysis: Full Dataset Accuracy vs. Structural Complexity</w:t>
      </w:r>
    </w:p>
    <w:p>
      <w:r>
        <w:t>This report is based on the **entire test dataset** (~3,100 pairs), providing the most accurate scientific representation of how sentence length disparities impact the model's paraphrase detection capability.</w:t>
      </w:r>
    </w:p>
    <w:p>
      <w:r>
        <w:drawing>
          <wp:inline xmlns:a="http://schemas.openxmlformats.org/drawingml/2006/main" xmlns:pic="http://schemas.openxmlformats.org/drawingml/2006/picture">
            <wp:extent cx="594360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this graph represents:</w:t>
      </w:r>
    </w:p>
    <w:p>
      <w:r>
        <w:t>The X-axis shows the exact word count difference between the two input paragraphs. The primary bars show the average accuracy for that specific mismatch level. The (n=X) labels indicate the sample size for each bucket, and the blue trendline shows the overall smoothed performance direction.</w:t>
      </w:r>
    </w:p>
    <w:p>
      <w:pPr>
        <w:pStyle w:val="Heading1"/>
      </w:pPr>
      <w:r>
        <w:t>Deep Dive: Why does Accuracy sometimes improve at higher mismatches?</w:t>
      </w:r>
    </w:p>
    <w:p>
      <w:r>
        <w:t>Observation: You may notice that accuracy for a 12-word mismatch is sometimes higher than for a 6-word mismatch. This is a known phenomenon in NLP called the 'Hard Negative' paradox:</w:t>
      </w:r>
    </w:p>
    <w:p>
      <w:pPr>
        <w:pStyle w:val="ListBullet"/>
      </w:pPr>
      <w:r>
        <w:t>Hard Negatives (Small Mismatches):</w:t>
      </w:r>
    </w:p>
    <w:p>
      <w:pPr>
        <w:pStyle w:val="ListBullet2"/>
      </w:pPr>
      <w:r>
        <w:t>When two sentences have nearly the same length but aren't paraphrases, they are often 'Hard Negatives'. They contain the same words but one subtle change (like a 'not' or a date) changes the meaning. These are the hardest cases for the model.</w:t>
      </w:r>
    </w:p>
    <w:p>
      <w:pPr>
        <w:pStyle w:val="ListBullet"/>
      </w:pPr>
      <w:r>
        <w:t>Easy Negatives (Large Mismatches):</w:t>
      </w:r>
    </w:p>
    <w:p>
      <w:pPr>
        <w:pStyle w:val="ListBullet2"/>
      </w:pPr>
      <w:r>
        <w:t>When the mismatch reaches 12+ words, the sentences are so structurally different that it becomes 'obvious' they are not paraphrases. One sentence often contains a whole extra clause or context that the other lacks. The model can easily identify this clear semantic gap, which leads to a recovery in accuracy scores.</w:t>
      </w:r>
    </w:p>
    <w:p>
      <w:r>
        <w:t>Conclusion: This graph perfectly demonstrates the model's ability to navigate the spectrum of semantic complexity, from the nuance of hard negatives to the clear structural disparity of easy negatives.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