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 Analysis: Absolute Error Distribution</w:t>
      </w:r>
    </w:p>
    <w:p>
      <w:r>
        <w:t>This histogram shows the frequency of different error magnitudes across all categories in the STS task.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this graph represents:</w:t>
      </w:r>
    </w:p>
    <w:p>
      <w:r>
        <w:t>The X-axis shows the 'size' of the error (Actual - Predicted). A small value (e.g., 0.05) means the model was very close to the truth. A large value (e.g., 0.3) means a significant disagreement.</w:t>
      </w:r>
    </w:p>
    <w:p>
      <w:pPr>
        <w:pStyle w:val="Heading1"/>
      </w:pPr>
      <w:r>
        <w:t>Importance and Project Insights:</w:t>
      </w:r>
    </w:p>
    <w:p>
      <w:r>
        <w:t>This graph proves the 'Reliability' of our results. We can see that the majority of our errors fall into the left-most bins (low error), which means that even when the model makes a mistake, it is usually a 'small' mistake. In a viva, this graph helps explain that our Mean Absolute Error (MAE) is driven by many tiny errors rather than a few catastrophic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