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 Analysis: Granular Accuracy vs. Mismatch</w:t>
      </w:r>
    </w:p>
    <w:p>
      <w:r>
        <w:t>This report provides a high-resolution view of how exact differences in length impact the model's accuracy.</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943600" cy="2971800"/>
                    </a:xfrm>
                    <a:prstGeom prst="rect"/>
                  </pic:spPr>
                </pic:pic>
              </a:graphicData>
            </a:graphic>
          </wp:inline>
        </w:drawing>
      </w:r>
    </w:p>
    <w:p>
      <w:pPr>
        <w:pStyle w:val="Heading1"/>
      </w:pPr>
      <w:r>
        <w:t>What this graph represents:</w:t>
      </w:r>
    </w:p>
    <w:p>
      <w:r>
        <w:t>Each bar represents a specific 'Word Count Mismatch' value. For example, the bar at '5' represents the average accuracy for all pairs where one paragraph had exactly 5 more words than the other. The color gradient indicates performance quality.</w:t>
      </w:r>
    </w:p>
    <w:p>
      <w:pPr>
        <w:pStyle w:val="Heading1"/>
      </w:pPr>
      <w:r>
        <w:t>Importance and Project Insights:</w:t>
      </w:r>
    </w:p>
    <w:p>
      <w:r>
        <w:t>This granular view allows us to pinpoint exactly at what point length starts to affect performance. It demonstrates a higher level of maturity in project evaluation compared to simple binary metrics. By showing accuracy across the entire spectrum of mismatches, we can prove that the SBERT model is functionally stable regardless of the structural disparity between input sentences.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