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Visual Analysis: Absolute Error Distribution</w:t>
      </w:r>
    </w:p>
    <w:p>
      <w:pPr>
        <w:pStyle w:val="Normal"/>
        <w:rPr/>
      </w:pPr>
      <w:r>
        <w:rPr/>
        <w:t>This histogram shows the frequency of different error magnitudes across all categories in the STS task.</w:t>
      </w:r>
    </w:p>
    <w:p>
      <w:pPr>
        <w:pStyle w:val="Normal"/>
        <w:rPr/>
      </w:pPr>
      <w:r>
        <w:rPr/>
        <w:drawing>
          <wp:inline distT="0" distB="0" distL="0" distR="0">
            <wp:extent cx="5486400" cy="32918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What this graph represents:</w:t>
      </w:r>
    </w:p>
    <w:p>
      <w:pPr>
        <w:pStyle w:val="Normal"/>
        <w:rPr/>
      </w:pPr>
      <w:r>
        <w:rPr/>
        <w:t xml:space="preserve">The X-axis shows the signed difference (Actual - Predicted), ranging from </w:t>
      </w:r>
      <w:r>
        <w:rPr/>
        <w:t>0</w:t>
      </w:r>
      <w:r>
        <w:rPr/>
        <w:t xml:space="preserve"> to 1. A value near 0 means the model was accurate. Negative values mean the model over-predicted, and positive values mean the model under-predicted. The Y-axis shows the percentage of data points falling in each bin.</w:t>
      </w:r>
    </w:p>
    <w:p>
      <w:pPr>
        <w:pStyle w:val="Heading1"/>
        <w:rPr/>
      </w:pPr>
      <w:r>
        <w:rPr/>
        <w:t>Importance and Project Insights: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This graph proves the 'Reliability' of our results. We can see that the majority of our errors cluster near 0, which means that even when the model makes a mistake, it is usually a 'small' mistake. In a viva, this graph helps explain that our Mean Absolute Error (MAE) is driven by many tiny errors rather than a few catastrophic failures.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3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138</Words>
  <Characters>706</Characters>
  <CharactersWithSpaces>838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2026-04-20T21:52:56Z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