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Paraphrase Detection </w:t>
      </w:r>
      <w:r>
        <w:rPr/>
        <w:t xml:space="preserve">Accuracy    for </w:t>
      </w:r>
      <w:r>
        <w:rPr/>
        <w:t>3 Models</w:t>
      </w:r>
    </w:p>
    <w:p>
      <w:pPr>
        <w:pStyle w:val="Normal"/>
        <w:rPr/>
      </w:pPr>
      <w:r>
        <w:rPr/>
        <w:t>This report is based on the entire MRPC test dataset (~3,200 pairs). Three bars per mismatch bucket represent MiniLM, MPNet, and Elite respectively, allowing direct comparison of how each model handles varying structural complexity.</w:t>
      </w:r>
    </w:p>
    <w:p>
      <w:pPr>
        <w:pStyle w:val="Normal"/>
        <w:rPr/>
      </w:pPr>
      <w:r>
        <w:rPr/>
        <w:drawing>
          <wp:inline distT="0" distB="0" distL="0" distR="0">
            <wp:extent cx="5943600" cy="260032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>What this graph represents</w:t>
      </w:r>
    </w:p>
    <w:p>
      <w:pPr>
        <w:pStyle w:val="Normal"/>
        <w:rPr/>
      </w:pPr>
      <w:r>
        <w:rPr/>
        <w:t>The X-axis shows the absolute word count difference between the two input sentences. Each cluster of 3 bars represents one mismatch level. The (n=X) labels show sample size per bucket. Elite (red) consistently sits at or above MPNet (green), which in turn outperforms MiniLM (blue).</w:t>
      </w:r>
    </w:p>
    <w:p>
      <w:pPr>
        <w:pStyle w:val="Heading1"/>
        <w:rPr/>
      </w:pPr>
      <w:r>
        <w:rPr/>
        <w:t>Model Performance Analysis</w:t>
      </w:r>
    </w:p>
    <w:tbl>
      <w:tblPr>
        <w:tblStyle w:val="TableGrid"/>
        <w:tblW w:w="864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39"/>
        <w:gridCol w:w="2254"/>
        <w:gridCol w:w="1348"/>
        <w:gridCol w:w="3601"/>
      </w:tblGrid>
      <w:tr>
        <w:trPr/>
        <w:tc>
          <w:tcPr>
            <w:tcW w:w="1439" w:type="dxa"/>
            <w:tcBorders/>
            <w:shd w:color="auto" w:fill="2C3E5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Model</w:t>
            </w:r>
          </w:p>
        </w:tc>
        <w:tc>
          <w:tcPr>
            <w:tcW w:w="2254" w:type="dxa"/>
            <w:tcBorders/>
            <w:shd w:color="auto" w:fill="2C3E5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Overall Accuracy</w:t>
            </w:r>
          </w:p>
        </w:tc>
        <w:tc>
          <w:tcPr>
            <w:tcW w:w="1348" w:type="dxa"/>
            <w:tcBorders/>
            <w:shd w:color="auto" w:fill="2C3E5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F1-Score</w:t>
            </w:r>
          </w:p>
        </w:tc>
        <w:tc>
          <w:tcPr>
            <w:tcW w:w="3601" w:type="dxa"/>
            <w:tcBorders/>
            <w:shd w:color="auto" w:fill="2C3E5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Key Strength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MiniLM</w:t>
            </w:r>
          </w:p>
        </w:tc>
        <w:tc>
          <w:tcPr>
            <w:tcW w:w="225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76.7%</w:t>
            </w:r>
          </w:p>
        </w:tc>
        <w:tc>
          <w:tcPr>
            <w:tcW w:w="134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0.8134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Fastest inference, good baseline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MPNet</w:t>
            </w:r>
          </w:p>
        </w:tc>
        <w:tc>
          <w:tcPr>
            <w:tcW w:w="225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78.1%</w:t>
            </w:r>
          </w:p>
        </w:tc>
        <w:tc>
          <w:tcPr>
            <w:tcW w:w="134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0.8291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Best accuracy/speed trade-off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Elite</w:t>
            </w:r>
          </w:p>
        </w:tc>
        <w:tc>
          <w:tcPr>
            <w:tcW w:w="225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80.5%</w:t>
            </w:r>
          </w:p>
        </w:tc>
        <w:tc>
          <w:tcPr>
            <w:tcW w:w="134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0.8512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Highest accuracy, cross-encoder precision</w:t>
            </w:r>
          </w:p>
        </w:tc>
      </w:tr>
    </w:tbl>
    <w:p>
      <w:pPr>
        <w:pStyle w:val="Heading1"/>
        <w:rPr/>
      </w:pPr>
      <w:r>
        <w:rPr/>
        <w:t>Why does Accuracy sometimes improve at higher mismatches?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This is the Hard Negative Paradox:</w:t>
        <w:br/>
        <w:t xml:space="preserve">  •  Small mismatch (0–4 words): Sentences are structurally near-identical. One subtle change negates the meaning. Even Elite struggles with these "hard negatives".</w:t>
        <w:br/>
        <w:t xml:space="preserve">  •  Large mismatch (12+ words): One sentence has a whole extra clause — the structural gap is obvious and all models correctly classify as non-paraphrase.</w:t>
        <w:br/>
        <w:br/>
        <w:t>Elite shows the smallest dip in the hard-negative region (0–4 words) due to its full cross-attention architecture, which can detect fine-grained semantic changes that bi-encoders miss.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7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LibreOffice/24.2.7.2$Linux_X86_64 LibreOffice_project/420$Build-2</Application>
  <AppVersion>15.0000</AppVersion>
  <Pages>2</Pages>
  <Words>206</Words>
  <Characters>1209</Characters>
  <CharactersWithSpaces>1401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2026-04-21T22:13:43Z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