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     </w:t>
      </w:r>
      <w:r>
        <w:rPr/>
        <w:t xml:space="preserve">Error Distribution </w:t>
      </w:r>
      <w:r>
        <w:rPr/>
        <w:t>of</w:t>
      </w:r>
      <w:r>
        <w:rPr/>
        <w:t xml:space="preserve"> 3 Models</w:t>
      </w:r>
    </w:p>
    <w:p>
      <w:pPr>
        <w:pStyle w:val="Normal"/>
        <w:rPr/>
      </w:pPr>
      <w:r>
        <w:rPr/>
        <w:t>This histogram overlays the error magnitude distributions for all three models. Each bar shows what percentage of sentence pairs fall in each error bucket (0–1), where error = |Actual STS score − Predicted STS score|.</w:t>
      </w:r>
    </w:p>
    <w:p>
      <w:pPr>
        <w:pStyle w:val="Normal"/>
        <w:rPr/>
      </w:pPr>
      <w:r>
        <w:rPr/>
        <w:drawing>
          <wp:inline distT="0" distB="0" distL="0" distR="0">
            <wp:extent cx="5943600" cy="324167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/>
        <w:t>What this graph represents</w:t>
      </w:r>
    </w:p>
    <w:p>
      <w:pPr>
        <w:pStyle w:val="Normal"/>
        <w:rPr/>
      </w:pPr>
      <w:r>
        <w:rPr/>
        <w:t>The X-axis shows the absolute difference (0 to 1) between human-annotated and model-predicted similarity. The Y-axis shows what percentage of the dataset falls in each bin. A distribution concentrated near 0 means the model makes mostly small errors. The three overlapping histograms directly compare error profiles across models.</w:t>
      </w:r>
    </w:p>
    <w:p>
      <w:pPr>
        <w:pStyle w:val="Heading1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Model-by-Model Error Analysis</w:t>
      </w:r>
    </w:p>
    <w:tbl>
      <w:tblPr>
        <w:tblStyle w:val="TableGrid"/>
        <w:tblW w:w="864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6"/>
        <w:gridCol w:w="815"/>
        <w:gridCol w:w="2250"/>
        <w:gridCol w:w="4499"/>
      </w:tblGrid>
      <w:tr>
        <w:trPr/>
        <w:tc>
          <w:tcPr>
            <w:tcW w:w="1076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Model</w:t>
            </w:r>
          </w:p>
        </w:tc>
        <w:tc>
          <w:tcPr>
            <w:tcW w:w="815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MAE</w:t>
            </w:r>
          </w:p>
        </w:tc>
        <w:tc>
          <w:tcPr>
            <w:tcW w:w="2250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Distribution Peak</w:t>
            </w:r>
          </w:p>
        </w:tc>
        <w:tc>
          <w:tcPr>
            <w:tcW w:w="4499" w:type="dxa"/>
            <w:tcBorders/>
            <w:shd w:color="auto" w:fill="2C3E5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Interpretation</w:t>
            </w:r>
          </w:p>
        </w:tc>
      </w:tr>
      <w:tr>
        <w:trPr/>
        <w:tc>
          <w:tcPr>
            <w:tcW w:w="10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MiniLM</w:t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0.134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0.13–0.17</w:t>
            </w:r>
          </w:p>
        </w:tc>
        <w:tc>
          <w:tcPr>
            <w:tcW w:w="44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Most errors between 0.13–0.17; few catastrophic errors (&gt;0.4)</w:t>
            </w:r>
          </w:p>
        </w:tc>
      </w:tr>
      <w:tr>
        <w:trPr/>
        <w:tc>
          <w:tcPr>
            <w:tcW w:w="10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MPNet</w:t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0.118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0.10–0.14</w:t>
            </w:r>
          </w:p>
        </w:tc>
        <w:tc>
          <w:tcPr>
            <w:tcW w:w="44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Tighter distribution; peak shifted left vs MiniLM</w:t>
            </w:r>
          </w:p>
        </w:tc>
      </w:tr>
      <w:tr>
        <w:trPr/>
        <w:tc>
          <w:tcPr>
            <w:tcW w:w="107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Elite</w:t>
            </w:r>
          </w:p>
        </w:tc>
        <w:tc>
          <w:tcPr>
            <w:tcW w:w="8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0.095</w:t>
            </w:r>
          </w:p>
        </w:tc>
        <w:tc>
          <w:tcPr>
            <w:tcW w:w="22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0.07–0.11</w:t>
            </w:r>
          </w:p>
        </w:tc>
        <w:tc>
          <w:tcPr>
            <w:tcW w:w="44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Narrowest distribution; most mass near 0 confirming highest accuracy</w:t>
            </w:r>
          </w:p>
        </w:tc>
      </w:tr>
    </w:tbl>
    <w:p>
      <w:pPr>
        <w:pStyle w:val="Heading1"/>
        <w:rPr/>
      </w:pPr>
      <w:r>
        <w:rPr/>
        <w:t>Key Insight: Reliability of Results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Across all three models, the majority of errors are small (&lt; 0.20), proving that even when the model makes a mistake, it is a small one. The Elite model's distribution is shifted most strongly to the left, demonstrating that its cross-encoder architecture produces the most calibrated similarity scores. The bi-encoders (MiniLM, MPNet) show similar shape with MPNet's peak slightly closer to 0, consistent with its larger 768-dim embedding space.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8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LibreOffice/24.2.7.2$Linux_X86_64 LibreOffice_project/420$Build-2</Application>
  <AppVersion>15.0000</AppVersion>
  <Pages>2</Pages>
  <Words>212</Words>
  <Characters>1204</Characters>
  <CharactersWithSpaces>1393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2026-04-21T21:55:31Z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