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Error Distribution — 3 Models</w:t>
      </w:r>
    </w:p>
    <w:p>
      <w:r>
        <w:t>This histogram overlays the error magnitude distributions for all three models. Each bar shows what percentage of sentence pairs fall in each error bucket (0–1), where error = |Actual STS score − Predicted STS score|.</w:t>
      </w:r>
    </w:p>
    <w:p>
      <w:r>
        <w:drawing>
          <wp:inline xmlns:a="http://schemas.openxmlformats.org/drawingml/2006/main" xmlns:pic="http://schemas.openxmlformats.org/drawingml/2006/picture">
            <wp:extent cx="5943600" cy="3241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3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</w:t>
      </w:r>
    </w:p>
    <w:p>
      <w:r>
        <w:t>The X-axis shows the absolute difference (0 to 1) between human-annotated and model-predicted similarity. The Y-axis shows what percentage of the dataset falls in each bin. A distribution concentrated near 0 means the model makes mostly small errors. The three overlapping histograms directly compare error profiles across models.</w:t>
      </w:r>
    </w:p>
    <w:p>
      <w:pPr>
        <w:pStyle w:val="Heading1"/>
      </w:pPr>
      <w:r>
        <w:t>Model-by-Model Error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MAE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Distribution Peak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Interpretation</w:t>
            </w:r>
          </w:p>
        </w:tc>
      </w:tr>
      <w:tr>
        <w:tc>
          <w:tcPr>
            <w:tcW w:type="dxa" w:w="2160"/>
          </w:tcPr>
          <w:p>
            <w:r>
              <w:t>MiniLM</w:t>
            </w:r>
          </w:p>
        </w:tc>
        <w:tc>
          <w:tcPr>
            <w:tcW w:type="dxa" w:w="2160"/>
          </w:tcPr>
          <w:p>
            <w:r>
              <w:t>0.134</w:t>
            </w:r>
          </w:p>
        </w:tc>
        <w:tc>
          <w:tcPr>
            <w:tcW w:type="dxa" w:w="2160"/>
          </w:tcPr>
          <w:p>
            <w:r>
              <w:t>0.13–0.17</w:t>
            </w:r>
          </w:p>
        </w:tc>
        <w:tc>
          <w:tcPr>
            <w:tcW w:type="dxa" w:w="2160"/>
          </w:tcPr>
          <w:p>
            <w:r>
              <w:t>Most errors between 0.13–0.17; few catastrophic errors (&gt;0.4)</w:t>
            </w:r>
          </w:p>
        </w:tc>
      </w:tr>
      <w:tr>
        <w:tc>
          <w:tcPr>
            <w:tcW w:type="dxa" w:w="2160"/>
          </w:tcPr>
          <w:p>
            <w:r>
              <w:t>MPNet</w:t>
            </w:r>
          </w:p>
        </w:tc>
        <w:tc>
          <w:tcPr>
            <w:tcW w:type="dxa" w:w="2160"/>
          </w:tcPr>
          <w:p>
            <w:r>
              <w:t>0.118</w:t>
            </w:r>
          </w:p>
        </w:tc>
        <w:tc>
          <w:tcPr>
            <w:tcW w:type="dxa" w:w="2160"/>
          </w:tcPr>
          <w:p>
            <w:r>
              <w:t>0.10–0.14</w:t>
            </w:r>
          </w:p>
        </w:tc>
        <w:tc>
          <w:tcPr>
            <w:tcW w:type="dxa" w:w="2160"/>
          </w:tcPr>
          <w:p>
            <w:r>
              <w:t>Tighter distribution; peak shifted left vs MiniLM</w:t>
            </w:r>
          </w:p>
        </w:tc>
      </w:tr>
      <w:tr>
        <w:tc>
          <w:tcPr>
            <w:tcW w:type="dxa" w:w="2160"/>
          </w:tcPr>
          <w:p>
            <w:r>
              <w:t>Elite</w:t>
            </w:r>
          </w:p>
        </w:tc>
        <w:tc>
          <w:tcPr>
            <w:tcW w:type="dxa" w:w="2160"/>
          </w:tcPr>
          <w:p>
            <w:r>
              <w:t>0.095</w:t>
            </w:r>
          </w:p>
        </w:tc>
        <w:tc>
          <w:tcPr>
            <w:tcW w:type="dxa" w:w="2160"/>
          </w:tcPr>
          <w:p>
            <w:r>
              <w:t>0.07–0.11</w:t>
            </w:r>
          </w:p>
        </w:tc>
        <w:tc>
          <w:tcPr>
            <w:tcW w:type="dxa" w:w="2160"/>
          </w:tcPr>
          <w:p>
            <w:r>
              <w:t>Narrowest distribution; most mass near 0 confirming highest accuracy</w:t>
            </w:r>
          </w:p>
        </w:tc>
      </w:tr>
    </w:tbl>
    <w:p>
      <w:pPr>
        <w:pStyle w:val="Heading1"/>
      </w:pPr>
      <w:r>
        <w:t>Key Insight: Reliability of Results</w:t>
      </w:r>
    </w:p>
    <w:p>
      <w:r>
        <w:t>Across all three models, the majority of errors are small (&lt; 0.20), proving that even when the model makes a mistake, it is a small one. The Elite model's distribution is shifted most strongly to the left, demonstrating that its cross-encoder architecture produces the most calibrated similarity scores. The bi-encoders (MiniLM, MPNet) show similar shape with MPNet's peak slightly closer to 0, consistent with its larger 768-dim embedding space.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