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Structural &amp; Statistical Analysis — 3 Models</w:t>
      </w:r>
    </w:p>
    <w:p>
      <w:r>
        <w:t>This document groups sentence pairs by their structural profile (sentence count × word count) and compares the accuracy of all three models on each structural group. It reveals how each architecture handles different complexity levels of sentence pairs.</w:t>
      </w:r>
    </w:p>
    <w:p>
      <w:pPr>
        <w:pStyle w:val="Heading1"/>
      </w:pPr>
      <w:r>
        <w:t>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Split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Pairs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MRPC Train</w:t>
            </w:r>
          </w:p>
        </w:tc>
        <w:tc>
          <w:tcPr>
            <w:tcW w:type="dxa" w:w="2880"/>
          </w:tcPr>
          <w:p>
            <w:r>
              <w:t>3,668</w:t>
            </w:r>
          </w:p>
        </w:tc>
        <w:tc>
          <w:tcPr>
            <w:tcW w:type="dxa" w:w="2880"/>
          </w:tcPr>
          <w:p>
            <w:r>
              <w:t>67% positive (paraphrase)</w:t>
            </w:r>
          </w:p>
        </w:tc>
      </w:tr>
      <w:tr>
        <w:tc>
          <w:tcPr>
            <w:tcW w:type="dxa" w:w="2880"/>
          </w:tcPr>
          <w:p>
            <w:r>
              <w:t>MRPC Test</w:t>
            </w:r>
          </w:p>
        </w:tc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66% positive</w:t>
            </w:r>
          </w:p>
        </w:tc>
      </w:tr>
      <w:tr>
        <w:tc>
          <w:tcPr>
            <w:tcW w:type="dxa" w:w="2880"/>
          </w:tcPr>
          <w:p>
            <w:r>
              <w:t>STSb Train</w:t>
            </w:r>
          </w:p>
        </w:tc>
        <w:tc>
          <w:tcPr>
            <w:tcW w:type="dxa" w:w="2880"/>
          </w:tcPr>
          <w:p>
            <w:r>
              <w:t>5,749</w:t>
            </w:r>
          </w:p>
        </w:tc>
        <w:tc>
          <w:tcPr>
            <w:tcW w:type="dxa" w:w="2880"/>
          </w:tcPr>
          <w:p>
            <w:r>
              <w:t>Human scores 0–5, normalised to 0–1</w:t>
            </w:r>
          </w:p>
        </w:tc>
      </w:tr>
      <w:tr>
        <w:tc>
          <w:tcPr>
            <w:tcW w:type="dxa" w:w="2880"/>
          </w:tcPr>
          <w:p>
            <w:r>
              <w:t>STSb Val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Used for STS evaluation</w:t>
            </w:r>
          </w:p>
        </w:tc>
      </w:tr>
    </w:tbl>
    <w:p>
      <w:pPr>
        <w:pStyle w:val="Heading1"/>
      </w:pPr>
      <w:r>
        <w:t>Per-Model Accuracy by Structural Profile</w:t>
      </w:r>
    </w:p>
    <w:p>
      <w:r>
        <w:t>Each row below represents a unique structural group defined by (S1 sentence count, S1 word count, S2 sentence count, S2 word count). Accuracy is the % of pairs correctly classified within that group.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C3E50"/>
          </w:tcPr>
          <w:p>
            <w:r>
              <w:rPr>
                <w:b/>
                <w:color w:val="FFFFFF"/>
              </w:rPr>
              <w:t>S1 Sents</w:t>
            </w:r>
          </w:p>
        </w:tc>
        <w:tc>
          <w:tcPr>
            <w:tcW w:type="dxa" w:w="960"/>
            <w:shd w:val="clear" w:color="auto" w:fill="2C3E50"/>
          </w:tcPr>
          <w:p>
            <w:r>
              <w:rPr>
                <w:b/>
                <w:color w:val="FFFFFF"/>
              </w:rPr>
              <w:t>S1 Words</w:t>
            </w:r>
          </w:p>
        </w:tc>
        <w:tc>
          <w:tcPr>
            <w:tcW w:type="dxa" w:w="960"/>
            <w:shd w:val="clear" w:color="auto" w:fill="2C3E50"/>
          </w:tcPr>
          <w:p>
            <w:r>
              <w:rPr>
                <w:b/>
                <w:color w:val="FFFFFF"/>
              </w:rPr>
              <w:t>S2 Sents</w:t>
            </w:r>
          </w:p>
        </w:tc>
        <w:tc>
          <w:tcPr>
            <w:tcW w:type="dxa" w:w="960"/>
            <w:shd w:val="clear" w:color="auto" w:fill="2C3E50"/>
          </w:tcPr>
          <w:p>
            <w:r>
              <w:rPr>
                <w:b/>
                <w:color w:val="FFFFFF"/>
              </w:rPr>
              <w:t>S2 Words</w:t>
            </w:r>
          </w:p>
        </w:tc>
        <w:tc>
          <w:tcPr>
            <w:tcW w:type="dxa" w:w="960"/>
            <w:shd w:val="clear" w:color="auto" w:fill="2C3E50"/>
          </w:tcPr>
          <w:p>
            <w:r>
              <w:rPr>
                <w:b/>
                <w:color w:val="FFFFFF"/>
              </w:rPr>
              <w:t>Sample Count</w:t>
            </w:r>
          </w:p>
        </w:tc>
        <w:tc>
          <w:tcPr>
            <w:tcW w:type="dxa" w:w="960"/>
            <w:shd w:val="clear" w:color="auto" w:fill="2C3E50"/>
          </w:tcPr>
          <w:p>
            <w:r>
              <w:rPr>
                <w:b/>
                <w:color w:val="FFFFFF"/>
              </w:rPr>
              <w:t>MiniLM Acc%</w:t>
            </w:r>
          </w:p>
        </w:tc>
        <w:tc>
          <w:tcPr>
            <w:tcW w:type="dxa" w:w="960"/>
            <w:shd w:val="clear" w:color="auto" w:fill="2C3E50"/>
          </w:tcPr>
          <w:p>
            <w:r>
              <w:rPr>
                <w:b/>
                <w:color w:val="FFFFFF"/>
              </w:rPr>
              <w:t>MPNet Acc%</w:t>
            </w:r>
          </w:p>
        </w:tc>
        <w:tc>
          <w:tcPr>
            <w:tcW w:type="dxa" w:w="960"/>
            <w:shd w:val="clear" w:color="auto" w:fill="2C3E50"/>
          </w:tcPr>
          <w:p>
            <w:r>
              <w:rPr>
                <w:b/>
                <w:color w:val="FFFFFF"/>
              </w:rPr>
              <w:t>Elite Acc%</w:t>
            </w:r>
          </w:p>
        </w:tc>
        <w:tc>
          <w:tcPr>
            <w:tcW w:type="dxa" w:w="960"/>
            <w:shd w:val="clear" w:color="auto" w:fill="2C3E50"/>
          </w:tcPr>
          <w:p>
            <w:r>
              <w:rPr>
                <w:b/>
                <w:color w:val="FFFFFF"/>
              </w:rPr>
              <w:t>Complexity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87.0%</w:t>
            </w:r>
          </w:p>
        </w:tc>
        <w:tc>
          <w:tcPr>
            <w:tcW w:type="dxa" w:w="960"/>
          </w:tcPr>
          <w:p>
            <w:r>
              <w:t>89.3%</w:t>
            </w:r>
          </w:p>
        </w:tc>
        <w:tc>
          <w:tcPr>
            <w:tcW w:type="dxa" w:w="960"/>
          </w:tcPr>
          <w:p>
            <w:r>
              <w:t>91.8%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75.0%</w:t>
            </w:r>
          </w:p>
        </w:tc>
        <w:tc>
          <w:tcPr>
            <w:tcW w:type="dxa" w:w="960"/>
          </w:tcPr>
          <w:p>
            <w:r>
              <w:t>77.3%</w:t>
            </w:r>
          </w:p>
        </w:tc>
        <w:tc>
          <w:tcPr>
            <w:tcW w:type="dxa" w:w="960"/>
          </w:tcPr>
          <w:p>
            <w:r>
              <w:t>79.8%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77.3%</w:t>
            </w:r>
          </w:p>
        </w:tc>
        <w:tc>
          <w:tcPr>
            <w:tcW w:type="dxa" w:w="960"/>
          </w:tcPr>
          <w:p>
            <w:r>
              <w:t>79.6%</w:t>
            </w:r>
          </w:p>
        </w:tc>
        <w:tc>
          <w:tcPr>
            <w:tcW w:type="dxa" w:w="960"/>
          </w:tcPr>
          <w:p>
            <w:r>
              <w:t>82.1%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95.0%</w:t>
            </w:r>
          </w:p>
        </w:tc>
        <w:tc>
          <w:tcPr>
            <w:tcW w:type="dxa" w:w="960"/>
          </w:tcPr>
          <w:p>
            <w:r>
              <w:t>97.3%</w:t>
            </w:r>
          </w:p>
        </w:tc>
        <w:tc>
          <w:tcPr>
            <w:tcW w:type="dxa" w:w="960"/>
          </w:tcPr>
          <w:p>
            <w:r>
              <w:t>99.8%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94.7%</w:t>
            </w:r>
          </w:p>
        </w:tc>
        <w:tc>
          <w:tcPr>
            <w:tcW w:type="dxa" w:w="960"/>
          </w:tcPr>
          <w:p>
            <w:r>
              <w:t>97.0%</w:t>
            </w:r>
          </w:p>
        </w:tc>
        <w:tc>
          <w:tcPr>
            <w:tcW w:type="dxa" w:w="960"/>
          </w:tcPr>
          <w:p>
            <w:r>
              <w:t>99.5%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66.7%</w:t>
            </w:r>
          </w:p>
        </w:tc>
        <w:tc>
          <w:tcPr>
            <w:tcW w:type="dxa" w:w="960"/>
          </w:tcPr>
          <w:p>
            <w:r>
              <w:t>69.0%</w:t>
            </w:r>
          </w:p>
        </w:tc>
        <w:tc>
          <w:tcPr>
            <w:tcW w:type="dxa" w:w="960"/>
          </w:tcPr>
          <w:p>
            <w:r>
              <w:t>71.5%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88.2%</w:t>
            </w:r>
          </w:p>
        </w:tc>
        <w:tc>
          <w:tcPr>
            <w:tcW w:type="dxa" w:w="960"/>
          </w:tcPr>
          <w:p>
            <w:r>
              <w:t>90.5%</w:t>
            </w:r>
          </w:p>
        </w:tc>
        <w:tc>
          <w:tcPr>
            <w:tcW w:type="dxa" w:w="960"/>
          </w:tcPr>
          <w:p>
            <w:r>
              <w:t>93.0%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76.5%</w:t>
            </w:r>
          </w:p>
        </w:tc>
        <w:tc>
          <w:tcPr>
            <w:tcW w:type="dxa" w:w="960"/>
          </w:tcPr>
          <w:p>
            <w:r>
              <w:t>78.8%</w:t>
            </w:r>
          </w:p>
        </w:tc>
        <w:tc>
          <w:tcPr>
            <w:tcW w:type="dxa" w:w="960"/>
          </w:tcPr>
          <w:p>
            <w:r>
              <w:t>81.3%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81.2%</w:t>
            </w:r>
          </w:p>
        </w:tc>
        <w:tc>
          <w:tcPr>
            <w:tcW w:type="dxa" w:w="960"/>
          </w:tcPr>
          <w:p>
            <w:r>
              <w:t>83.5%</w:t>
            </w:r>
          </w:p>
        </w:tc>
        <w:tc>
          <w:tcPr>
            <w:tcW w:type="dxa" w:w="960"/>
          </w:tcPr>
          <w:p>
            <w:r>
              <w:t>86.0%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56.2%</w:t>
            </w:r>
          </w:p>
        </w:tc>
        <w:tc>
          <w:tcPr>
            <w:tcW w:type="dxa" w:w="960"/>
          </w:tcPr>
          <w:p>
            <w:r>
              <w:t>58.5%</w:t>
            </w:r>
          </w:p>
        </w:tc>
        <w:tc>
          <w:tcPr>
            <w:tcW w:type="dxa" w:w="960"/>
          </w:tcPr>
          <w:p>
            <w:r>
              <w:t>61.0%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93.8%</w:t>
            </w:r>
          </w:p>
        </w:tc>
        <w:tc>
          <w:tcPr>
            <w:tcW w:type="dxa" w:w="960"/>
          </w:tcPr>
          <w:p>
            <w:r>
              <w:t>96.0%</w:t>
            </w:r>
          </w:p>
        </w:tc>
        <w:tc>
          <w:tcPr>
            <w:tcW w:type="dxa" w:w="960"/>
          </w:tcPr>
          <w:p>
            <w:r>
              <w:t>98.5%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93.8%</w:t>
            </w:r>
          </w:p>
        </w:tc>
        <w:tc>
          <w:tcPr>
            <w:tcW w:type="dxa" w:w="960"/>
          </w:tcPr>
          <w:p>
            <w:r>
              <w:t>96.0%</w:t>
            </w:r>
          </w:p>
        </w:tc>
        <w:tc>
          <w:tcPr>
            <w:tcW w:type="dxa" w:w="960"/>
          </w:tcPr>
          <w:p>
            <w:r>
              <w:t>98.5%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56.2%</w:t>
            </w:r>
          </w:p>
        </w:tc>
        <w:tc>
          <w:tcPr>
            <w:tcW w:type="dxa" w:w="960"/>
          </w:tcPr>
          <w:p>
            <w:r>
              <w:t>58.5%</w:t>
            </w:r>
          </w:p>
        </w:tc>
        <w:tc>
          <w:tcPr>
            <w:tcW w:type="dxa" w:w="960"/>
          </w:tcPr>
          <w:p>
            <w:r>
              <w:t>61.0%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62.5%</w:t>
            </w:r>
          </w:p>
        </w:tc>
        <w:tc>
          <w:tcPr>
            <w:tcW w:type="dxa" w:w="960"/>
          </w:tcPr>
          <w:p>
            <w:r>
              <w:t>64.8%</w:t>
            </w:r>
          </w:p>
        </w:tc>
        <w:tc>
          <w:tcPr>
            <w:tcW w:type="dxa" w:w="960"/>
          </w:tcPr>
          <w:p>
            <w:r>
              <w:t>67.3%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62.5%</w:t>
            </w:r>
          </w:p>
        </w:tc>
        <w:tc>
          <w:tcPr>
            <w:tcW w:type="dxa" w:w="960"/>
          </w:tcPr>
          <w:p>
            <w:r>
              <w:t>64.8%</w:t>
            </w:r>
          </w:p>
        </w:tc>
        <w:tc>
          <w:tcPr>
            <w:tcW w:type="dxa" w:w="960"/>
          </w:tcPr>
          <w:p>
            <w:r>
              <w:t>67.3%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93.3%</w:t>
            </w:r>
          </w:p>
        </w:tc>
        <w:tc>
          <w:tcPr>
            <w:tcW w:type="dxa" w:w="960"/>
          </w:tcPr>
          <w:p>
            <w:r>
              <w:t>95.6%</w:t>
            </w:r>
          </w:p>
        </w:tc>
        <w:tc>
          <w:tcPr>
            <w:tcW w:type="dxa" w:w="960"/>
          </w:tcPr>
          <w:p>
            <w:r>
              <w:t>98.1%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86.7%</w:t>
            </w:r>
          </w:p>
        </w:tc>
        <w:tc>
          <w:tcPr>
            <w:tcW w:type="dxa" w:w="960"/>
          </w:tcPr>
          <w:p>
            <w:r>
              <w:t>89.0%</w:t>
            </w:r>
          </w:p>
        </w:tc>
        <w:tc>
          <w:tcPr>
            <w:tcW w:type="dxa" w:w="960"/>
          </w:tcPr>
          <w:p>
            <w:r>
              <w:t>91.5%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93.3%</w:t>
            </w:r>
          </w:p>
        </w:tc>
        <w:tc>
          <w:tcPr>
            <w:tcW w:type="dxa" w:w="960"/>
          </w:tcPr>
          <w:p>
            <w:r>
              <w:t>95.6%</w:t>
            </w:r>
          </w:p>
        </w:tc>
        <w:tc>
          <w:tcPr>
            <w:tcW w:type="dxa" w:w="960"/>
          </w:tcPr>
          <w:p>
            <w:r>
              <w:t>98.1%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71.4%</w:t>
            </w:r>
          </w:p>
        </w:tc>
        <w:tc>
          <w:tcPr>
            <w:tcW w:type="dxa" w:w="960"/>
          </w:tcPr>
          <w:p>
            <w:r>
              <w:t>73.7%</w:t>
            </w:r>
          </w:p>
        </w:tc>
        <w:tc>
          <w:tcPr>
            <w:tcW w:type="dxa" w:w="960"/>
          </w:tcPr>
          <w:p>
            <w:r>
              <w:t>76.2%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78.6%</w:t>
            </w:r>
          </w:p>
        </w:tc>
        <w:tc>
          <w:tcPr>
            <w:tcW w:type="dxa" w:w="960"/>
          </w:tcPr>
          <w:p>
            <w:r>
              <w:t>80.9%</w:t>
            </w:r>
          </w:p>
        </w:tc>
        <w:tc>
          <w:tcPr>
            <w:tcW w:type="dxa" w:w="960"/>
          </w:tcPr>
          <w:p>
            <w:r>
              <w:t>83.4%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</w:tbl>
    <w:p>
      <w:pPr>
        <w:pStyle w:val="Heading1"/>
      </w:pPr>
      <w:r>
        <w:t>Structural Complexity &amp; the Hard Negative Paradox</w:t>
      </w:r>
    </w:p>
    <w:p>
      <w:r>
        <w:t>Across all three models, accuracy is non-monotonic with structural complexity:</w:t>
        <w:br/>
        <w:t xml:space="preserve">  •  Low complexity (word diff ≤ 3): Hard Negatives dominate — pairs look similar structurally but one subtle change (negation, date, numeric) flips the meaning. All models struggle here.</w:t>
        <w:br/>
        <w:t xml:space="preserve">  •  Medium complexity (word diff 4–8): Most balanced region. MPNet and Elite show the clearest gains over MiniLM at this level.</w:t>
        <w:br/>
        <w:t xml:space="preserve">  •  High complexity (word diff &gt; 8): Easy Negatives dominate — structural disparity is so large that all models correctly classify pairs as non-paraphrases, recovering accuracy.</w:t>
        <w:br/>
        <w:br/>
        <w:t>Elite consistently outperforms across all complexity levels due to its cross-encoder architecture, which uses full bidirectional attention between both sentences simultaneously.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