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Visual Analysis: Semantic Correlation — 3 Models</w:t>
      </w:r>
    </w:p>
    <w:p>
      <w:r>
        <w:t>Three scatter plots showing Actual (human-annotated) vs. Predicted (model) STS scores for each model. Each dot represents a sentence pair. The red dashed line is the perfect correlation baseline. Dots above the line indicate the model over-predicted similarity.</w:t>
      </w:r>
    </w:p>
    <w:p>
      <w:r>
        <w:drawing>
          <wp:inline xmlns:a="http://schemas.openxmlformats.org/drawingml/2006/main" xmlns:pic="http://schemas.openxmlformats.org/drawingml/2006/picture">
            <wp:extent cx="5943600" cy="1922929"/>
            <wp:docPr id="1" name="Picture 1"/>
            <wp:cNvGraphicFramePr>
              <a:graphicFrameLocks noChangeAspect="1"/>
            </wp:cNvGraphicFramePr>
            <a:graphic>
              <a:graphicData uri="http://schemas.openxmlformats.org/drawingml/2006/picture">
                <pic:pic>
                  <pic:nvPicPr>
                    <pic:cNvPr id="0" name="sts_3model.png"/>
                    <pic:cNvPicPr/>
                  </pic:nvPicPr>
                  <pic:blipFill>
                    <a:blip r:embed="rId9"/>
                    <a:stretch>
                      <a:fillRect/>
                    </a:stretch>
                  </pic:blipFill>
                  <pic:spPr>
                    <a:xfrm>
                      <a:off x="0" y="0"/>
                      <a:ext cx="5943600" cy="1922929"/>
                    </a:xfrm>
                    <a:prstGeom prst="rect"/>
                  </pic:spPr>
                </pic:pic>
              </a:graphicData>
            </a:graphic>
          </wp:inline>
        </w:drawing>
      </w:r>
    </w:p>
    <w:p>
      <w:pPr>
        <w:pStyle w:val="Heading1"/>
      </w:pPr>
      <w:r>
        <w:t>Pearson Correlation Summary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C3E50"/>
          </w:tcPr>
          <w:p>
            <w:r>
              <w:rPr>
                <w:b/>
                <w:color w:val="FFFFFF"/>
              </w:rPr>
              <w:t>Model</w:t>
            </w:r>
          </w:p>
        </w:tc>
        <w:tc>
          <w:tcPr>
            <w:tcW w:type="dxa" w:w="2880"/>
            <w:shd w:val="clear" w:color="auto" w:fill="2C3E50"/>
          </w:tcPr>
          <w:p>
            <w:r>
              <w:rPr>
                <w:b/>
                <w:color w:val="FFFFFF"/>
              </w:rPr>
              <w:t>Pearson r</w:t>
            </w:r>
          </w:p>
        </w:tc>
        <w:tc>
          <w:tcPr>
            <w:tcW w:type="dxa" w:w="2880"/>
            <w:shd w:val="clear" w:color="auto" w:fill="2C3E50"/>
          </w:tcPr>
          <w:p>
            <w:r>
              <w:rPr>
                <w:b/>
                <w:color w:val="FFFFFF"/>
              </w:rPr>
              <w:t>Interpretation</w:t>
            </w:r>
          </w:p>
        </w:tc>
      </w:tr>
      <w:tr>
        <w:tc>
          <w:tcPr>
            <w:tcW w:type="dxa" w:w="2880"/>
          </w:tcPr>
          <w:p>
            <w:r>
              <w:t>MiniLM</w:t>
            </w:r>
          </w:p>
        </w:tc>
        <w:tc>
          <w:tcPr>
            <w:tcW w:type="dxa" w:w="2880"/>
          </w:tcPr>
          <w:p>
            <w:r>
              <w:t>0.8421</w:t>
            </w:r>
          </w:p>
        </w:tc>
        <w:tc>
          <w:tcPr>
            <w:tcW w:type="dxa" w:w="2880"/>
          </w:tcPr>
          <w:p>
            <w:r>
              <w:t>Strong correlation; slight over-prediction at low similarity scores</w:t>
            </w:r>
          </w:p>
        </w:tc>
      </w:tr>
      <w:tr>
        <w:tc>
          <w:tcPr>
            <w:tcW w:type="dxa" w:w="2880"/>
          </w:tcPr>
          <w:p>
            <w:r>
              <w:t>MPNet</w:t>
            </w:r>
          </w:p>
        </w:tc>
        <w:tc>
          <w:tcPr>
            <w:tcW w:type="dxa" w:w="2880"/>
          </w:tcPr>
          <w:p>
            <w:r>
              <w:t>0.8734</w:t>
            </w:r>
          </w:p>
        </w:tc>
        <w:tc>
          <w:tcPr>
            <w:tcW w:type="dxa" w:w="2880"/>
          </w:tcPr>
          <w:p>
            <w:r>
              <w:t>Very strong correlation; tighter cluster around the diagonal</w:t>
            </w:r>
          </w:p>
        </w:tc>
      </w:tr>
      <w:tr>
        <w:tc>
          <w:tcPr>
            <w:tcW w:type="dxa" w:w="2880"/>
          </w:tcPr>
          <w:p>
            <w:r>
              <w:t>Elite</w:t>
            </w:r>
          </w:p>
        </w:tc>
        <w:tc>
          <w:tcPr>
            <w:tcW w:type="dxa" w:w="2880"/>
          </w:tcPr>
          <w:p>
            <w:r>
              <w:t>0.9123</w:t>
            </w:r>
          </w:p>
        </w:tc>
        <w:tc>
          <w:tcPr>
            <w:tcW w:type="dxa" w:w="2880"/>
          </w:tcPr>
          <w:p>
            <w:r>
              <w:t>Excellent correlation; most dots near the diagonal across all score ranges</w:t>
            </w:r>
          </w:p>
        </w:tc>
      </w:tr>
    </w:tbl>
    <w:p>
      <w:pPr>
        <w:pStyle w:val="Heading1"/>
      </w:pPr>
      <w:r>
        <w:t>What this graph represents</w:t>
      </w:r>
    </w:p>
    <w:p>
      <w:r>
        <w:t>Each dot is one sentence pair. The closer the dots cluster to the red dashed diagonal, the more accurate the model. Dots above the diagonal mean the model assigned a higher similarity score than the human annotators. The Pearson r in each subplot title quantifies the overall rank-order alignment.</w:t>
      </w:r>
    </w:p>
    <w:p>
      <w:pPr>
        <w:pStyle w:val="Heading1"/>
      </w:pPr>
      <w:r>
        <w:t>Why is the Predicted Similarity often higher than the Actual Similarity?</w:t>
      </w:r>
    </w:p>
    <w:p>
      <w:r>
        <w:t>A prominent pattern across all three models (especially MiniLM and MPNet) is that many dots sit above the diagonal — the model consistently over-predicts similarity. This is a well-documented structural property of sentence embedding models:</w:t>
      </w:r>
    </w:p>
    <w:p>
      <w:pPr>
        <w:pStyle w:val="ListBullet"/>
      </w:pPr>
      <w:r>
        <w:rPr>
          <w:b/>
        </w:rPr>
        <w:t xml:space="preserve">1. Cosine Similarity Bias in High-Dimensional Space: </w:t>
      </w:r>
      <w:r>
        <w:t>SBERT bi-encoders (MiniLM: 384-dim, MPNet: 768-dim) produce embeddings where cosine similarity values are naturally compressed toward higher values. Even semantically distant sentences share directional similarity due to common vocabulary and grammar patterns learned during pre-training, inflating raw cosine scores above human ratings.</w:t>
      </w:r>
    </w:p>
    <w:p>
      <w:pPr>
        <w:pStyle w:val="ListBullet"/>
      </w:pPr>
      <w:r>
        <w:rPr>
          <w:b/>
        </w:rPr>
        <w:t xml:space="preserve">2. Topic vs. Semantic Equivalence Conflation: </w:t>
      </w:r>
      <w:r>
        <w:t>Humans distinguish between "same topic" and "same meaning". The model's embeddings capture the shared semantic field (topic, domain) but lack the pragmatic resolution to down-score pairs that are topically similar but not true paraphrases. Example: "A guitarist performs on stage" vs "A musician practices at home" — human score ~0.4; model predicts ~0.75.</w:t>
      </w:r>
    </w:p>
    <w:p>
      <w:pPr>
        <w:pStyle w:val="ListBullet"/>
      </w:pPr>
      <w:r>
        <w:rPr>
          <w:b/>
        </w:rPr>
        <w:t xml:space="preserve">3. Training Objective vs. Human Rating Scale: </w:t>
      </w:r>
      <w:r>
        <w:t>Bi-encoders are trained with contrastive/NLI objectives that push similar sentences very close in vector space. The resulting geometry does not linearly align with the 0–5 human rating scale used in STSb, causing systematic upward shift in predictions.</w:t>
      </w:r>
    </w:p>
    <w:p>
      <w:pPr>
        <w:pStyle w:val="ListBullet"/>
      </w:pPr>
      <w:r>
        <w:rPr>
          <w:b/>
        </w:rPr>
        <w:t xml:space="preserve">4. Cross-Encoder Advantage (Elite): </w:t>
      </w:r>
      <w:r>
        <w:t>The Elite cross-encoder processes both sentences jointly, enabling full attention interaction. This dramatically reduces the over-prediction bias seen in bi-encoders — the Elite scatter plot shows much tighter clustering around the diagonal, especially at low-similarity pairs (0.0–0.3) where bi-encoders over-predict the most.</w:t>
      </w:r>
    </w:p>
    <w:p>
      <w:pPr>
        <w:pStyle w:val="ListBullet"/>
      </w:pPr>
      <w:r>
        <w:rPr>
          <w:b/>
        </w:rPr>
        <w:t xml:space="preserve">5. Negation and World-Knowledge Gaps: </w:t>
      </w:r>
      <w:r>
        <w:t>Human annotators apply real-world knowledge, temporal context, and pragmatics. A model relying entirely on embeddings misses subtle nuances — negations, implied consequences, or cultural context — that humans naturally penalise. This contributes to the model being "overconfident" on pairs humans rate as dissimilar.</w:t>
      </w:r>
    </w:p>
    <w:p>
      <w:r>
        <w:t>Conclusion: The upward bias is a structural feature of dense retrieval embeddings, not a flaw specific to this project. The strong Pearson r values (0.84–0.91) confirm the models rank similarity correctly — it is only the absolute scale that is shifted. This is precisely why Pearson Correlation is the standard STS evaluation metric rather than MSE: it measures rank-order agreement, not absolute accuracy. The Elite cross-encoder reduces this bias most significantly by seeing both sentences simultaneously.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