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Paraphrase Detection and Semantic Textual Similarity Project</w:t>
      </w:r>
    </w:p>
    <w:p>
      <w:pPr>
        <w:pStyle w:val="Heading1"/>
      </w:pPr>
      <w:r>
        <w:t>1. Introduction to the Project</w:t>
      </w:r>
    </w:p>
    <w:p>
      <w:r>
        <w:t>This project focuses on two core Natural Language Processing (NLP) tasks: Paraphrase Detection and Semantic Textual Similarity (STS). The goal is to build a system that can accurately determine if two sentences convey the same meaning (paraphrase) or quantify how similar their meanings are (STS).</w:t>
        <w:br/>
        <w:br/>
        <w:t>The project implements a baseline model and multiple state-of-the-art transformer-based models (MiniLM, MPNet, and Elite/DeBERTa-V3) to solve these problems. Each model offers a different trade-off between speed and accuracy, providing a comprehensive comparative study of modern embedding-based NLP.</w:t>
      </w:r>
    </w:p>
    <w:p>
      <w:pPr>
        <w:pStyle w:val="Heading1"/>
      </w:pPr>
      <w:r>
        <w:t>2. Paraphrase Detection vs. Semantic Textual Similarity (STS)</w:t>
      </w:r>
    </w:p>
    <w:p>
      <w:r>
        <w:t>It is important to understand the technical difference between these two tasks: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Paraphrase Detection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Semantic Textual Similarity (STS)</w:t>
            </w:r>
          </w:p>
        </w:tc>
      </w:tr>
      <w:tr>
        <w:tc>
          <w:tcPr>
            <w:tcW w:type="dxa" w:w="2880"/>
          </w:tcPr>
          <w:p>
            <w:r>
              <w:t>Nature of Task</w:t>
            </w:r>
          </w:p>
        </w:tc>
        <w:tc>
          <w:tcPr>
            <w:tcW w:type="dxa" w:w="2880"/>
          </w:tcPr>
          <w:p>
            <w:r>
              <w:t>Classification (Binary)</w:t>
            </w:r>
          </w:p>
        </w:tc>
        <w:tc>
          <w:tcPr>
            <w:tcW w:type="dxa" w:w="2880"/>
          </w:tcPr>
          <w:p>
            <w:r>
              <w:t>Regression (Numerical Scale)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Yes / No (1 or 0)</w:t>
            </w:r>
          </w:p>
        </w:tc>
        <w:tc>
          <w:tcPr>
            <w:tcW w:type="dxa" w:w="2880"/>
          </w:tcPr>
          <w:p>
            <w:r>
              <w:t>Similarity Score (e.g., 0.0 to 5.0)</w:t>
            </w:r>
          </w:p>
        </w:tc>
      </w:tr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Identical meaning (Restatements)</w:t>
            </w:r>
          </w:p>
        </w:tc>
        <w:tc>
          <w:tcPr>
            <w:tcW w:type="dxa" w:w="2880"/>
          </w:tcPr>
          <w:p>
            <w:r>
              <w:t>Nuanced similarity (How related?)</w:t>
            </w:r>
          </w:p>
        </w:tc>
      </w:tr>
      <w:tr>
        <w:tc>
          <w:tcPr>
            <w:tcW w:type="dxa" w:w="2880"/>
          </w:tcPr>
          <w:p>
            <w:r>
              <w:t>Logic</w:t>
            </w:r>
          </w:p>
        </w:tc>
        <w:tc>
          <w:tcPr>
            <w:tcW w:type="dxa" w:w="2880"/>
          </w:tcPr>
          <w:p>
            <w:r>
              <w:t>Structural or semantic equivalence</w:t>
            </w:r>
          </w:p>
        </w:tc>
        <w:tc>
          <w:tcPr>
            <w:tcW w:type="dxa" w:w="2880"/>
          </w:tcPr>
          <w:p>
            <w:r>
              <w:t>Graded overlap in information</w:t>
            </w:r>
          </w:p>
        </w:tc>
      </w:tr>
    </w:tbl>
    <w:p>
      <w:pPr>
        <w:pStyle w:val="Heading1"/>
      </w:pPr>
      <w:r>
        <w:t>3. Project Execution Flow</w:t>
      </w:r>
    </w:p>
    <w:p>
      <w:r>
        <w:t>The project is divided into two main execution paths:</w:t>
        <w:br/>
        <w:t>• Main Pipeline (main.py):</w:t>
        <w:br/>
        <w:t xml:space="preserve">  Reads datasets, runs preprocessing, executes multiple model inferences (MiniLM, MPNet, Elite), and evaluates performance using standard metrics. Finally, it generates multi-model visualization plots for comparison.</w:t>
        <w:br/>
        <w:t>• Interactive Web App (app.py):</w:t>
        <w:br/>
        <w:t xml:space="preserve">  Uses Streamlit to provide a user interface where two sentences can be entered. The user can select the model architecture, and the system calculates similarity in real-time, classifying them as paraphrases if the score exceeds the 0.75 threshold.</w:t>
      </w:r>
    </w:p>
    <w:p>
      <w:pPr>
        <w:pStyle w:val="Heading1"/>
      </w:pPr>
      <w:r>
        <w:t>4. Datasets for Training and Testing</w:t>
      </w:r>
    </w:p>
    <w:p>
      <w:r>
        <w:t>The models are evaluated on industry-standard benchmarks from the GLUE (General Language Understanding Evaluation) suite:</w:t>
        <w:br/>
        <w:t>• MRPC (Microsoft Research Paraphrase Corpus):</w:t>
        <w:br/>
        <w:t xml:space="preserve">  Used for Paraphrase Detection. It consists of sentence pairs manually annotated for semantic equivalence.</w:t>
        <w:br/>
        <w:t>• STS Benchmark (STSb):</w:t>
        <w:br/>
        <w:t xml:space="preserve">  Used for Semantic Textual Similarity. It provides pairs of sentences with a human-assigned similarity score ranging from 0 (completely unrelated) to 5 (meaning equivalent).</w:t>
      </w:r>
    </w:p>
    <w:p>
      <w:pPr>
        <w:pStyle w:val="Heading1"/>
      </w:pPr>
      <w:r>
        <w:t>5. Models and Implementation</w:t>
      </w:r>
    </w:p>
    <w:p>
      <w:r>
        <w:t>1. Baseline Model (TF-IDF + Logistic Regression):</w:t>
        <w:br/>
        <w:t>Uses Term Frequency-Inverse Document Frequency (TF-IDF) to represent sentences as vectors and Logistic Regression for classification. It serves as a benchmark for speed but lacks deep contextual understanding.</w:t>
        <w:br/>
        <w:br/>
        <w:t>2. MiniLM (all-MiniLM-L6-v2):</w:t>
        <w:br/>
        <w:t>A distilled 6-layer transformer producing 384-dimensional embeddings. It is extremely fast and optimized for CPU deployment without significant sacrifice in accuracy.</w:t>
        <w:br/>
        <w:br/>
        <w:t>3. MPNet (all-mpnet-base-v2):</w:t>
        <w:br/>
        <w:t>A 12-layer bi-encoder that addresses the limitations of standard BERT by combining masked and permuted pre-training. It produces 768-dimensional embeddings and is the standard for high-quality semantic similarity.</w:t>
        <w:br/>
        <w:br/>
        <w:t>4. Elite (DeBERTa-V3 Cross-Encoder):</w:t>
        <w:br/>
        <w:t>A maximum-precision Cross-Encoder based on DeBERTa-V3-Large. Unlike bi-encoders, it jointly processes sentence pairs through cross-attention, capturing the subtle semantic differences that bi-encoders miss.</w:t>
        <w:br/>
        <w:br/>
        <w:t>5. NLI Cross-Encoder Refinement:</w:t>
        <w:br/>
        <w:t>Integrated into the pipeline to handle contradictions (e.g., "The sky is blue" vs "The sky is red"). If a contradiction is detected, the similarity score is significantly penalized, ensuring logical consistency in the results.</w:t>
      </w:r>
    </w:p>
    <w:p>
      <w:pPr>
        <w:pStyle w:val="Heading1"/>
      </w:pPr>
      <w:r>
        <w:t>6. Results and Metrics</w:t>
      </w:r>
    </w:p>
    <w:p>
      <w:r>
        <w:t>We use several metrics to evaluate the models:</w:t>
      </w:r>
    </w:p>
    <w:p>
      <w:r>
        <w:t>• Accuracy: Percentage of correct predictions.</w:t>
        <w:br/>
        <w:t>• F1-Score: Harmonic mean of Precision and Recall. Critical for imbalanced datasets as it ensures balanced performance on both positive and negative samples.</w:t>
        <w:br/>
        <w:t>• Pearson Correlation: Measures the linear relationship between predicted scores and human judgment. A higher r value indicates a more human-like understanding of semantic nuance.</w:t>
      </w:r>
    </w:p>
    <w:p>
      <w:pPr>
        <w:pStyle w:val="Heading1"/>
      </w:pPr>
      <w:r>
        <w:t>7. Rationale for Dataset Splits</w:t>
      </w:r>
    </w:p>
    <w:p>
      <w:r>
        <w:t>• Standardized Benchmarking: By using the pre-defined GLUE splits, we ensure results are comparable to standard academic benchmarks.</w:t>
        <w:br/>
        <w:t>• Task-Specific Optimization: Paraphrase (Classification) and STS (Regression) are fundamentally different. Maintaining separate splits allows each model to optimize specific weights for its objective.</w:t>
        <w:br/>
        <w:t>• Human Annotation Scarcity: High-quality annotations are rare; we utilize the full corpus to maximize exposure to human judgment patterns.</w:t>
      </w:r>
    </w:p>
    <w:p>
      <w:pPr>
        <w:pStyle w:val="Heading1"/>
      </w:pPr>
      <w:r>
        <w:t>8. Understanding the Threshold (0.75)</w:t>
      </w:r>
    </w:p>
    <w:p>
      <w:r>
        <w:t>• Empirical Optimization: Testing on validation sets showed 0.75 provides the optimal F1 balance.</w:t>
        <w:br/>
        <w:t>• Semantic Strictness: 0.75 ensures sentences are nearly identical informatively, not just related.</w:t>
        <w:br/>
        <w:t>• Transformer Heuristics: For SBERT architectures, 0.75 is a robust decision boundary for semantic equivalence.</w:t>
      </w:r>
    </w:p>
    <w:p>
      <w:pPr>
        <w:pStyle w:val="Heading1"/>
      </w:pPr>
      <w:r>
        <w:t>Summary for Viva</w:t>
      </w:r>
    </w:p>
    <w:p>
      <w:r>
        <w:t>The project demonstrates how multi-model transformer ensembles (MiniLM for speed, MPNet for search, and Elite for precision) outperform traditional statistical methods. By combining Bi-Encoders for efficiency and Cross-Encoders for deep logic, we achieve a modern, production-ready NLP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