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Visual Analysis: Accuracy vs. Structural Complexity</w:t>
      </w:r>
    </w:p>
    <w:p>
      <w:r>
        <w:t>This report visualizes how the model's accuracy on Paraphrase Detection scales with the difference in length between the two inputs.</w:t>
      </w:r>
    </w:p>
    <w:p>
      <w:r>
        <w:drawing>
          <wp:inline xmlns:a="http://schemas.openxmlformats.org/drawingml/2006/main" xmlns:pic="http://schemas.openxmlformats.org/drawingml/2006/picture">
            <wp:extent cx="548640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pl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What this graph represents:</w:t>
      </w:r>
    </w:p>
    <w:p>
      <w:r>
        <w:t>The X-axis categorizes sentence pairs by the 'Mismatch' in their word counts. 'Low' means the sentences have nearly identical lengths, while 'High' means one is significantly longer than the other.</w:t>
      </w:r>
    </w:p>
    <w:p>
      <w:pPr>
        <w:pStyle w:val="Heading1"/>
      </w:pPr>
      <w:r>
        <w:t>Importance and Project Insights:</w:t>
      </w:r>
    </w:p>
    <w:p>
      <w:r>
        <w:t>This graph is critical because it tests the 'Robustness' of the SBERT model. A good NLP model should not be tricked by length. Our analysis shows that while accuracy is highest for balanced pairs, the model maintains a strong performance even in 'High Mismatch' cases, proving that it understands semantic meaning rather than just counting word overlap.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