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80"/>
      </w:pPr>
      <w:r>
        <w:rPr>
          <w:b/>
          <w:color w:val="276BB2"/>
          <w:sz w:val="36"/>
        </w:rPr>
        <w:t>User Requirements Specification (URS) — paraqualis-skills</w:t>
      </w:r>
    </w:p>
    <w:p>
      <w:pPr>
        <w:ind w:left="432"/>
      </w:pPr>
      <w:r>
        <w:rPr>
          <w:b/>
          <w:color w:val="81A5C1"/>
          <w:sz w:val="20"/>
        </w:rPr>
        <w:t>DRAFT — pending review and approval by appropriately qualified and authorized personnel.</w:t>
      </w:r>
    </w:p>
    <w:p>
      <w:pPr>
        <w:ind w:left="432"/>
      </w:pPr>
      <w:r>
        <w:rPr>
          <w:color w:val="81A5C1"/>
          <w:sz w:val="20"/>
        </w:rPr>
        <w:t>Authored by ParaQualis qualification engine (`/qualify:requirements` flow, invoked from</w:t>
      </w:r>
    </w:p>
    <w:p>
      <w:pPr>
        <w:ind w:left="432"/>
      </w:pPr>
      <w:r>
        <w:rPr>
          <w:color w:val="81A5C1"/>
          <w:sz w:val="20"/>
        </w:rPr>
        <w:t>`/qualify:build`). **Inferred requirements are flagged and require system-owner</w:t>
      </w:r>
    </w:p>
    <w:p>
      <w:pPr>
        <w:ind w:left="432"/>
      </w:pPr>
      <w:r>
        <w:rPr>
          <w:color w:val="81A5C1"/>
          <w:sz w:val="20"/>
        </w:rPr>
        <w:t>confirmation.** This document is not authoritative until reviewed, corrected, and approved.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`paraqualis-skills` — a Claude Code plugin/toolkit for life-sciences regulatory &amp; computer-system-validation (CSV) work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Version under specification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1.1.0 (`.claude-plugin/plugin.json`)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Intended use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Provide Claude Code commands, auto-invoked skills, parallel sub-agents, an MCP tool server, and a document-protection hook that help regulatory/CSV practitioners assess and document GxP computerized systems against GAMP 5, 21 CFR Part 11, EU GMP Annex 11; retrieve live regulatory text (eCFR) and FDA data (openFDA); and generate draft IQ/OQ/PQ qualification packs.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Primary users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CSV engineers, QA/regulatory affairs staff, validation leads working inside Claude Code.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scope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21 CFR Part 11; EU GMP Annex 11; GAMP 5 (2nd ed.); AI/ML guidance (FDA AI credibility framework, ISPE GAMP Guide: AI, EU draft Annex 22) — because the qualification engine uses LLM sub-agents to generate GxP-impacting evidence.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GAMP category (inferred)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Category 5 — bespoke/custom application</w:t>
            </w:r>
            <w:r>
              <w:rPr>
                <w:sz w:val="18"/>
              </w:rPr>
              <w:t xml:space="preserve"> (custom prompts + custom Python rendering/automation), with </w:t>
            </w:r>
            <w:r>
              <w:rPr>
                <w:b/>
                <w:sz w:val="18"/>
              </w:rPr>
              <w:t>AI/ML considerations</w:t>
            </w:r>
            <w:r>
              <w:rPr>
                <w:sz w:val="18"/>
              </w:rPr>
              <w:t xml:space="preserve"> for the LLM-driven qualification engine. *Inferred — owner to confirm.*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GxP impact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 xml:space="preserve">The qualification engine is a </w:t>
            </w:r>
            <w:r>
              <w:rPr>
                <w:b/>
                <w:sz w:val="18"/>
              </w:rPr>
              <w:t>GxP-impacting tool</w:t>
            </w:r>
            <w:r>
              <w:rPr>
                <w:sz w:val="18"/>
              </w:rPr>
              <w:t xml:space="preserve">: it structures and accelerates validation evidence. It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self-certify and would require its own qualification before its output is relied upon as formal evidence.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2026-06-14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How to read this document</w:t>
      </w:r>
    </w:p>
    <w:p>
      <w:r>
        <w:rPr>
          <w:sz w:val="20"/>
        </w:rPr>
        <w:t xml:space="preserve">Each requirement is a single, testable </w:t>
      </w:r>
      <w:r>
        <w:rPr>
          <w:b/>
          <w:sz w:val="20"/>
        </w:rPr>
        <w:t>"shall"</w:t>
      </w:r>
      <w:r>
        <w:rPr>
          <w:sz w:val="20"/>
        </w:rPr>
        <w:t xml:space="preserve"> statement. Each `URS-NNN` is the trace</w:t>
      </w:r>
    </w:p>
    <w:p>
      <w:r>
        <w:rPr>
          <w:sz w:val="20"/>
        </w:rPr>
        <w:t>target for the matching `PQ-NNN` test-case in the pack, so requirement → evidence is a</w:t>
      </w:r>
    </w:p>
    <w:p>
      <w:r>
        <w:rPr>
          <w:sz w:val="20"/>
        </w:rPr>
        <w:t xml:space="preserve">direct link. The </w:t>
      </w:r>
      <w:r>
        <w:rPr>
          <w:b/>
          <w:sz w:val="20"/>
        </w:rPr>
        <w:t>Source</w:t>
      </w:r>
      <w:r>
        <w:rPr>
          <w:sz w:val="20"/>
        </w:rPr>
        <w:t xml:space="preserve"> column marks each as </w:t>
      </w:r>
      <w:r>
        <w:rPr>
          <w:b/>
          <w:sz w:val="20"/>
        </w:rPr>
        <w:t>stated</w:t>
      </w:r>
      <w:r>
        <w:rPr>
          <w:sz w:val="20"/>
        </w:rPr>
        <w:t xml:space="preserve"> (given by the owner),</w:t>
      </w:r>
    </w:p>
    <w:p>
      <w:r>
        <w:rPr>
          <w:b/>
          <w:sz w:val="20"/>
        </w:rPr>
        <w:t>inferred-from-behaviour</w:t>
      </w:r>
      <w:r>
        <w:rPr>
          <w:sz w:val="20"/>
        </w:rPr>
        <w:t xml:space="preserve"> (derived by reading the system — *must be confirmed*), or</w:t>
      </w:r>
    </w:p>
    <w:p>
      <w:r>
        <w:rPr>
          <w:b/>
          <w:sz w:val="20"/>
        </w:rPr>
        <w:t>regulatory-obligation</w:t>
      </w:r>
      <w:r>
        <w:rPr>
          <w:sz w:val="20"/>
        </w:rPr>
        <w:t xml:space="preserve"> (required by an applicable control). No threshold is invented;</w:t>
      </w:r>
    </w:p>
    <w:p>
      <w:r>
        <w:rPr>
          <w:sz w:val="20"/>
        </w:rPr>
        <w:t xml:space="preserve">where a value needs a business decision it is flagged </w:t>
      </w:r>
      <w:r>
        <w:rPr>
          <w:b/>
          <w:sz w:val="20"/>
        </w:rPr>
        <w:t>"to be defined and approved."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1. Functional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 (shall)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Rationale / intended-use link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URS-001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toolkit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expose its slash commands to Claude Code grouped by family (`cfr21-11`, `eCFR`, `eu-annex11`, `gamp`, `openfda`, `qualify`), each discoverable and invocable by its `family:name`.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Commands are the primary user entry point.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GAMP 5 (Cat 5 functional spec)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All command `.md` files under `commands/&lt;family&gt;/` are discoverable; invoking each produces its defined behaviour without error.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URS-002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two advisory </w:t>
            </w:r>
            <w:r>
              <w:rPr>
                <w:b/>
                <w:sz w:val="18"/>
              </w:rPr>
              <w:t>skills</w:t>
            </w:r>
            <w:r>
              <w:rPr>
                <w:sz w:val="18"/>
              </w:rPr>
              <w:t xml:space="preserve"> (`gamp-advisor`, `part11-advisor`)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auto-invoked by Claude when a user request matches their `description`, supplying regulatory expertise grounded in their bundled `reference/` corpora.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Skills deliver framing without the user knowing a command exists.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GAMP 5; 21 CFR Part 11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 representative in-scope prompt triggers the correct skill; its answer cites the bundled reference, not invented regulation.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URS-003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qualification engine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delegate IQ/OQ/PQ generation to the three specialist sub-agents (`iq-qualifier`, `oq-qualifier`, `pq-qualifier`), runnable in parallel, each in its own context.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Parallel fan-out is the engine's core design.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GAMP 5 lifecycle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`/qualify:build` issues all three delegations; each returns a populated stage section.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URS-004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`/qualify:*` commands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produce a qualification pack consisting of a URS (when authored), IQ/OQ/PQ test-case sections, a regulatory traceability matrix, a gap register, and a summary verdict, written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into a new `Qualification/` directory inside the target — modifying no existing files.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Read-only-of-system, write-only-to-pack is a safety guarantee.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GAMP 5; Annex 11 cl.4 (defined deliverables)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After a build, only `Qualification/` is created/changed; the pack contains all named artifacts.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URS-005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`openfda` MCP server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provide Claude executable tools to query FDA recalls, drug labels, and adverse-event reports via the openFDA API.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Live FDA data retrieval is the tool's purpose.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GAMP 5 (Cat 3/4 interfaced service)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Each registered tool returns correctly-shaped results for a representative query.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URS-006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`eCFR` commands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retrieve </w:t>
            </w:r>
            <w:r>
              <w:rPr>
                <w:b/>
                <w:sz w:val="18"/>
              </w:rPr>
              <w:t>live</w:t>
            </w:r>
            <w:r>
              <w:rPr>
                <w:sz w:val="18"/>
              </w:rPr>
              <w:t xml:space="preserve"> regulatory structure/text/search/comparison from the eCFR service so outputs reflect the current regulation, not a stale cached copy.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Regulatory accuracy depends on currency.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21 CFR Part 11; Annex 11 (correct controls)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 eCFR command returns content matching the live source for a known citation.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URS-007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toolkit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render the Markdown source of truth into branded ParaQualis </w:t>
            </w:r>
            <w:r>
              <w:rPr>
                <w:b/>
                <w:sz w:val="18"/>
              </w:rPr>
              <w:t>Word</w:t>
            </w:r>
            <w:r>
              <w:rPr>
                <w:sz w:val="18"/>
              </w:rPr>
              <w:t xml:space="preserve"> (`build_docx.py`, python-docx) and </w:t>
            </w:r>
            <w:r>
              <w:rPr>
                <w:b/>
                <w:sz w:val="18"/>
              </w:rPr>
              <w:t>Excel</w:t>
            </w:r>
            <w:r>
              <w:rPr>
                <w:sz w:val="18"/>
              </w:rPr>
              <w:t xml:space="preserve"> (`build_xlsx.py`, openpyxl — a sheet per xQ stage + Summary + Traceability) deliverables.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Clients receive signable Word/Excel; Markdown stays canonical.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GAMP 5 (documented evidence)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Running the builders on valid Markdown produces a valid `.docx` and `.xlsx` reflecting the Markdown content.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2. Data integrity (ALCOA+)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 (shall)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URS-010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Every expected value used in a generated test-case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</w:t>
            </w:r>
            <w:r>
              <w:rPr>
                <w:b/>
                <w:sz w:val="18"/>
              </w:rPr>
              <w:t>sourced from the system's own declarations or the approved spec and cited</w:t>
            </w:r>
            <w:r>
              <w:rPr>
                <w:sz w:val="18"/>
              </w:rPr>
              <w:t>, never a hardcoded literal presented as truth.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Non-circular, portable, reviewable evidence.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Annex 11 cl.4/cl.5; ALCOA+ (Accurate, Attributable)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Inspected test-cases cite a source (file:line or spec ID) for each expected value; no unsourced literals.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URS-011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Markdown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the single source of truth; Word/Excel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regenerated from it and never hand-edited.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Prevents divergence between formats.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ALCOA+ (Consistent, Original)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The builders reproduce the current Markdown; no manual-only content exists in `.docx`/`.xlsx`.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URS-012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A skipped or unexecuted test </w:t>
            </w:r>
            <w:r>
              <w:rPr>
                <w:b/>
                <w:sz w:val="18"/>
              </w:rPr>
              <w:t>shall not</w:t>
            </w:r>
            <w:r>
              <w:rPr>
                <w:sz w:val="18"/>
              </w:rPr>
              <w:t xml:space="preserve"> be reported as a pass, and the readiness verdict </w:t>
            </w:r>
            <w:r>
              <w:rPr>
                <w:b/>
                <w:sz w:val="18"/>
              </w:rPr>
              <w:t>shall not</w:t>
            </w:r>
            <w:r>
              <w:rPr>
                <w:sz w:val="18"/>
              </w:rPr>
              <w:t xml:space="preserve"> be inflated by unexecuted checks.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Honest evidence is a house standard and a regulatory expectation.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ALCOA+ (Accurate); Annex 11 cl.4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The summary counts PASS / FAIL / not-yet-executed separately; no skip is counted as pass.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URS-013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toolkit </w:t>
            </w:r>
            <w:r>
              <w:rPr>
                <w:b/>
                <w:sz w:val="18"/>
              </w:rPr>
              <w:t>shall not</w:t>
            </w:r>
            <w:r>
              <w:rPr>
                <w:sz w:val="18"/>
              </w:rPr>
              <w:t xml:space="preserve"> swallow errors silently; a failed operation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surface a clear error (and, where a process is running, a log entry).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Silent failure hides data-integrity breaches.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Annex 11 cl.9 (audit/record); ALCOA+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Forcing each material failure mode yields a surfaced error, never a silent success.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stated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3. Security &amp; access control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 (shall)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URS-020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Secrets (the openFDA API key)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supplied via environment/`.env` and </w:t>
            </w:r>
            <w:r>
              <w:rPr>
                <w:b/>
                <w:sz w:val="18"/>
              </w:rPr>
              <w:t>shall never</w:t>
            </w:r>
            <w:r>
              <w:rPr>
                <w:sz w:val="18"/>
              </w:rPr>
              <w:t xml:space="preserve"> be committed to the repository.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Prevents credential leakage.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21 CFR Part 11 §11.10(d); Annex 11 cl.12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`.env` is git-ignored; only `.env.example` with a placeholder is tracked; no key appears in history.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URS-021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toolkit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operate with least privilege — sub-agents restricted to read-only inspection tools (Read/Grep/Glob/Bash) and the pack writer confined to the `Qualification/` directory.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Limits blast radius on a GxP system under inspection.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Annex 11 cl.12 (access control)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Sub-agent definitions declare read-only toolsets; no agent writes outside `Qualification/`.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4. Audit trail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 (shall)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URS-030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Each generated test-case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carry a blank, structured </w:t>
            </w:r>
            <w:r>
              <w:rPr>
                <w:b/>
                <w:sz w:val="18"/>
              </w:rPr>
              <w:t>execution-record block</w:t>
            </w:r>
            <w:r>
              <w:rPr>
                <w:sz w:val="18"/>
              </w:rPr>
              <w:t xml:space="preserve"> (actual result · executed-by · date · PASS/FAIL · evidence ref) that becomes the attributable, time-stamped evidence when run.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The execution record is the audit trail of the qualification.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21 CFR Part 11 §11.10(e); Annex 11 cl.9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Every test-case includes the execution-record fields, blank until executed.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stated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URS-031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Where the toolkit runs as a process (the MCP server, the hook), material actions and failures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observable in a server-side log, not only the user transcript.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Server-observable logging is a house standard and supports audit.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Annex 11 cl.9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The MCP server and hook emit log output for material operations/denials.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5. Electronic signature / approval integrity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 (shall)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URS-040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document-protection hook (`protect-approved-documents.py`)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refuse any in-place edit to a file carrying the approved-record marker `&lt;!-- PARAQUALIS-LOCK: approved --&gt;`, so an approved record cannot be silently overwritten.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Protects the integrity of approved/signed records.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21 CFR Part 11 §11.10(a),(c); Annex 11 cl.14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Editing a marked file is blocked with a clear message; editing an unmarked file is allowed.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URS-041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Every generated pack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carry signature lines for Author / Reviewer / QA Approver, left unsigned, and a </w:t>
            </w:r>
            <w:r>
              <w:rPr>
                <w:b/>
                <w:sz w:val="18"/>
              </w:rPr>
              <w:t>DRAFT</w:t>
            </w:r>
            <w:r>
              <w:rPr>
                <w:sz w:val="18"/>
              </w:rPr>
              <w:t xml:space="preserve"> governance stamp until approved.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Sign-off workflow and draft status must be explicit.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21 CFR Part 11 §11.50/§11.70; Annex 11 cl.14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Each pack document shows the unsigned approval block and the DRAFT stamp.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stated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6. AI/ML model requirements (the qualification engine)</w:t>
      </w:r>
    </w:p>
    <w:p>
      <w:r>
        <w:rPr>
          <w:sz w:val="20"/>
        </w:rPr>
        <w:t>*The engine uses LLM sub-agents to generate GxP-impacting evidence — these requirements</w:t>
      </w:r>
    </w:p>
    <w:p>
      <w:r>
        <w:rPr>
          <w:sz w:val="20"/>
        </w:rPr>
        <w:t>govern that AI use per the protocol's AI section. Acceptance thresholds are flagged</w:t>
      </w:r>
    </w:p>
    <w:p>
      <w:r>
        <w:rPr>
          <w:b/>
          <w:sz w:val="20"/>
        </w:rPr>
        <w:t>"to be defined and approved"</w:t>
      </w:r>
      <w:r>
        <w:rPr>
          <w:sz w:val="20"/>
        </w:rPr>
        <w:t xml:space="preserve"> where they depend on a business risk decision.*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 (shall)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URS-AI-050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Generated qualification claims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</w:t>
            </w:r>
            <w:r>
              <w:rPr>
                <w:b/>
                <w:sz w:val="18"/>
              </w:rPr>
              <w:t>traceable to cited evidence</w:t>
            </w:r>
            <w:r>
              <w:rPr>
                <w:sz w:val="18"/>
              </w:rPr>
              <w:t xml:space="preserve">; the engine </w:t>
            </w:r>
            <w:r>
              <w:rPr>
                <w:b/>
                <w:sz w:val="18"/>
              </w:rPr>
              <w:t>shall not</w:t>
            </w:r>
            <w:r>
              <w:rPr>
                <w:sz w:val="18"/>
              </w:rPr>
              <w:t xml:space="preserve"> present unsupported (hallucinated) pass/fail conclusions.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Hallucination control is mandatory for GxP AI output.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ISPE GAMP AI; FDA AI credibility framework; ALCOA+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Every pass/fail claim links to cited evidence; unsupported-claim rate = 0 for GxP-critical conclusions (threshold to be confirmed).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regulatory-obligation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URS-AI-051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All AI-generated output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issued as </w:t>
            </w:r>
            <w:r>
              <w:rPr>
                <w:b/>
                <w:sz w:val="18"/>
              </w:rPr>
              <w:t>DRAFT requiring human review</w:t>
            </w:r>
            <w:r>
              <w:rPr>
                <w:sz w:val="18"/>
              </w:rPr>
              <w:t xml:space="preserve"> by qualified personnel before use as formal evidence (human-in-the-loop oversight).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Human oversight proportionate to risk.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ISPE GAMP AI; EU draft Annex 22; Annex 11 cl.1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Every generated artifact is DRAFT-stamped and names the required reviewer/approver roles.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regulatory-obligation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URS-AI-052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engine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define and disclose the </w:t>
            </w:r>
            <w:r>
              <w:rPr>
                <w:b/>
                <w:sz w:val="18"/>
              </w:rPr>
              <w:t>Context of Use</w:t>
            </w:r>
            <w:r>
              <w:rPr>
                <w:sz w:val="18"/>
              </w:rPr>
              <w:t xml:space="preserve"> for its AI components and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mark itself a GxP-impacting tool requiring its own qualification before reliance.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COU and self-qualification disclosure are required.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FDA AI credibility framework (COU); ISPE GAMP AI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essential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The pack governance block states the COU and the self-qualification caveat.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regulatory-obligation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URS-AI-053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engine's AI-driven generation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reproducible/consistent enough that the same inputs yield materially equivalent qualification coverage. *(Consistency threshold — e.g. minimum pairwise coverage — </w:t>
            </w:r>
            <w:r>
              <w:rPr>
                <w:b/>
                <w:sz w:val="18"/>
              </w:rPr>
              <w:t>to be defined and approved</w:t>
            </w:r>
            <w:r>
              <w:rPr>
                <w:sz w:val="18"/>
              </w:rPr>
              <w:t xml:space="preserve"> for this COU.)*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Consistency is the necessary base evidence layer.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ISPE GAMP AI (consistency); protocol §AI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Repeated runs on the same target produce equivalent test-case coverage above the approved threshold (value to be defined).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regulatory-obligation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7. Operational requirements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 (shall)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criterion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URS-060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installer (`install.sh`)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symlink command/skill/agent assets into `~/.claude/` </w:t>
            </w:r>
            <w:r>
              <w:rPr>
                <w:b/>
                <w:sz w:val="18"/>
              </w:rPr>
              <w:t>idempotently</w:t>
            </w:r>
            <w:r>
              <w:rPr>
                <w:sz w:val="18"/>
              </w:rPr>
              <w:t xml:space="preserve"> and safely re-runnable, pruning only its own stale links.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Repeatable, non-destructive install.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GAMP 5 (installation control)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Running `install.sh` twice yields the same correct link set with no errors or collateral changes.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URS-061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The generated catalog in `docs/OVERVIEW.md`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be produced from the repo (not hand-maintained) so it cannot drift from the installed assets.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Documentation accuracy.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ALCOA+ (Consistent)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desirable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`build_catalog.py` regenerates the catalog to match the current command/skill/agent set.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inferred-from-behaviour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URS-062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Python tooling </w:t>
            </w:r>
            <w:r>
              <w:rPr>
                <w:b/>
                <w:sz w:val="18"/>
              </w:rPr>
              <w:t>shall</w:t>
            </w:r>
            <w:r>
              <w:rPr>
                <w:sz w:val="18"/>
              </w:rPr>
              <w:t xml:space="preserve"> declare its third-party dependencies (python-docx, openpyxl, mcp) with version constraints so a rebuild is reproducible.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Unpinned deps break reproducibility of a validated build.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GAMP 5 (configuration management); Annex 11 cl.4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A dependency manifest with version constraints exists and resolves the libraries the code imports. </w:t>
            </w:r>
            <w:r>
              <w:rPr>
                <w:b/>
                <w:sz w:val="18"/>
              </w:rPr>
              <w:t>(Currently no manifest — to be defined; see gap register.)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regulatory-obligation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8. Traceability hooks</w:t>
      </w:r>
    </w:p>
    <w:p>
      <w:r>
        <w:rPr>
          <w:sz w:val="20"/>
        </w:rPr>
        <w:t>Each `URS-NNN` above is the trace target for the matching `PQ-NNN` test-case. The pack's</w:t>
      </w:r>
    </w:p>
    <w:p>
      <w:r>
        <w:rPr>
          <w:sz w:val="20"/>
        </w:rPr>
        <w:t xml:space="preserve">regulatory traceability matrix links </w:t>
      </w:r>
      <w:r>
        <w:rPr>
          <w:b/>
          <w:sz w:val="20"/>
        </w:rPr>
        <w:t>control → URS → PQ test-case → status</w:t>
      </w:r>
      <w:r>
        <w:rPr>
          <w:sz w:val="20"/>
        </w:rPr>
        <w:t>, so an</w:t>
      </w:r>
    </w:p>
    <w:p>
      <w:r>
        <w:rPr>
          <w:sz w:val="20"/>
        </w:rPr>
        <w:t>inspector can follow any requirement to its evidence. `URS-AI-0NN` requirements trace to</w:t>
      </w:r>
    </w:p>
    <w:p>
      <w:r>
        <w:rPr>
          <w:sz w:val="20"/>
        </w:rPr>
        <w:t>`PQ-AI-0NN` test-cases.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9. Assumptions &amp; open questions (owner to confirm)</w:t>
      </w:r>
    </w:p>
    <w:p>
      <w:r>
        <w:rPr>
          <w:sz w:val="20"/>
        </w:rPr>
        <w:t xml:space="preserve">1. </w:t>
      </w:r>
      <w:r>
        <w:rPr>
          <w:b/>
          <w:sz w:val="20"/>
        </w:rPr>
        <w:t>GAMP category</w:t>
      </w:r>
      <w:r>
        <w:rPr>
          <w:sz w:val="20"/>
        </w:rPr>
        <w:t xml:space="preserve"> assumed </w:t>
      </w:r>
      <w:r>
        <w:rPr>
          <w:b/>
          <w:sz w:val="20"/>
        </w:rPr>
        <w:t>Category 5 + AI/ML</w:t>
      </w:r>
      <w:r>
        <w:rPr>
          <w:sz w:val="20"/>
        </w:rPr>
        <w:t xml:space="preserve"> — confirm classification (URS header).</w:t>
      </w:r>
    </w:p>
    <w:p>
      <w:r>
        <w:rPr>
          <w:sz w:val="20"/>
        </w:rPr>
        <w:t xml:space="preserve">2. </w:t>
      </w:r>
      <w:r>
        <w:rPr>
          <w:b/>
          <w:sz w:val="20"/>
        </w:rPr>
        <w:t>Intended use &amp; primary users</w:t>
      </w:r>
      <w:r>
        <w:rPr>
          <w:sz w:val="20"/>
        </w:rPr>
        <w:t xml:space="preserve"> partly inferred from `docs/OVERVIEW.md`/`plugin.json` —</w:t>
      </w:r>
    </w:p>
    <w:p>
      <w:r>
        <w:rPr>
          <w:sz w:val="20"/>
        </w:rPr>
        <w:t xml:space="preserve">   confirm the stated user roles and GxP-critical outcomes.</w:t>
      </w:r>
    </w:p>
    <w:p>
      <w:r>
        <w:rPr>
          <w:sz w:val="20"/>
        </w:rPr>
        <w:t xml:space="preserve">3. </w:t>
      </w:r>
      <w:r>
        <w:rPr>
          <w:b/>
          <w:sz w:val="20"/>
        </w:rPr>
        <w:t>AI acceptance thresholds</w:t>
      </w:r>
      <w:r>
        <w:rPr>
          <w:sz w:val="20"/>
        </w:rPr>
        <w:t xml:space="preserve"> (URS-AI-050, -053) are </w:t>
      </w:r>
      <w:r>
        <w:rPr>
          <w:b/>
          <w:sz w:val="20"/>
        </w:rPr>
        <w:t>to be defined and approved</w:t>
      </w:r>
      <w:r>
        <w:rPr>
          <w:sz w:val="20"/>
        </w:rPr>
        <w:t xml:space="preserve"> for</w:t>
      </w:r>
    </w:p>
    <w:p>
      <w:r>
        <w:rPr>
          <w:sz w:val="20"/>
        </w:rPr>
        <w:t xml:space="preserve">   the engine's Context of Use — no numeric thresholds have been baked in.</w:t>
      </w:r>
    </w:p>
    <w:p>
      <w:r>
        <w:rPr>
          <w:sz w:val="20"/>
        </w:rPr>
        <w:t xml:space="preserve">4. Most functional/security/operational requirements are </w:t>
      </w:r>
      <w:r>
        <w:rPr>
          <w:b/>
          <w:sz w:val="20"/>
        </w:rPr>
        <w:t>inferred-from-behaviour</w:t>
      </w:r>
    </w:p>
    <w:p>
      <w:r>
        <w:rPr>
          <w:sz w:val="20"/>
        </w:rPr>
        <w:t xml:space="preserve">   (no prior written spec existed) — each must be confirmed or corrected by the owner.</w:t>
      </w:r>
    </w:p>
    <w:p>
      <w:r>
        <w:rPr>
          <w:sz w:val="20"/>
        </w:rPr>
        <w:t xml:space="preserve">5. </w:t>
      </w:r>
      <w:r>
        <w:rPr>
          <w:b/>
          <w:sz w:val="20"/>
        </w:rPr>
        <w:t>Dependency manifest</w:t>
      </w:r>
      <w:r>
        <w:rPr>
          <w:sz w:val="20"/>
        </w:rPr>
        <w:t xml:space="preserve"> (URS-062) does not yet exist; the requirement is stated as the</w:t>
      </w:r>
    </w:p>
    <w:p>
      <w:r>
        <w:rPr>
          <w:sz w:val="20"/>
        </w:rPr>
        <w:t xml:space="preserve">   target state and is raised as a gap, not asserted as met.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10. Approval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Author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_ParaQualis qualification engine (AI-generated DRAFT)_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_unsigned_</w:t>
            </w:r>
          </w:p>
        </w:tc>
        <w:tc>
          <w:tcPr>
            <w:tcW w:type="dxa" w:w="3528"/>
          </w:tcPr>
          <w:p>
            <w:r/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Reviewer</w:t>
            </w:r>
          </w:p>
        </w:tc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_unsigned_</w:t>
            </w:r>
          </w:p>
        </w:tc>
        <w:tc>
          <w:tcPr>
            <w:tcW w:type="dxa" w:w="3528"/>
          </w:tcPr>
          <w:p>
            <w:r/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QA Approver</w:t>
            </w:r>
          </w:p>
        </w:tc>
        <w:tc>
          <w:tcPr>
            <w:tcW w:type="dxa" w:w="3528"/>
          </w:tcPr>
          <w:p>
            <w:r/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_unsigned_</w:t>
            </w:r>
          </w:p>
        </w:tc>
        <w:tc>
          <w:tcPr>
            <w:tcW w:type="dxa" w:w="3528"/>
          </w:tcPr>
          <w:p>
            <w:r/>
          </w:p>
        </w:tc>
      </w:tr>
    </w:tbl>
    <w:p>
      <w:r>
        <w:rPr>
          <w:sz w:val="20"/>
        </w:rPr>
        <w:t>*This URS is a DRAFT generated to discharge the regulatory obligation to define</w:t>
      </w:r>
    </w:p>
    <w:p>
      <w:r>
        <w:rPr>
          <w:sz w:val="20"/>
        </w:rPr>
        <w:t>requirements before qualification (GAMP 5 lifecycle; EU GMP Annex 11 cl.4). It is not a</w:t>
      </w:r>
    </w:p>
    <w:p>
      <w:r>
        <w:rPr>
          <w:sz w:val="20"/>
        </w:rPr>
        <w:t>controlled specification until reviewed, corrected, and approved by the system owner.*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Version history</w:t>
      </w:r>
    </w:p>
    <w:p>
      <w:r>
        <w:rPr>
          <w:sz w:val="20"/>
        </w:rPr>
        <w:t>*Document control for this pack is by approval sign-off (above) and the version summary below; a separate audit log is not maintained for these documents.*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0.1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2026-06-14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Initial draft generated by `/qualify:build`.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0.2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Added version-history section. Requirements content unchanged.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0.6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Qualified-version references updated to v1.1.0 (release bump; remediated build).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</dc:title>
  <dc:subject/>
  <dc:creator>ParaQualis LLC</dc:creator>
  <cp:keywords/>
  <dc:description>generated by python-docx</dc:description>
  <cp:lastModifiedBy>ParaQualis LLC</cp:lastModifiedBy>
  <cp:revision>1</cp:revision>
  <dcterms:created xsi:type="dcterms:W3CDTF">2013-12-23T23:15:00Z</dcterms:created>
  <dcterms:modified xsi:type="dcterms:W3CDTF">2013-12-23T23:15:00Z</dcterms:modified>
  <cp:category/>
</cp:coreProperties>
</file>