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b/>
          <w:color w:val="276BB2"/>
          <w:sz w:val="36"/>
        </w:rPr>
        <w:t>ParaQualis Skills — Overview</w:t>
      </w:r>
    </w:p>
    <w:p>
      <w:r>
        <w:rPr>
          <w:sz w:val="20"/>
        </w:rPr>
        <w:t>*Author: ParaQualis LLC · © 2026 ParaQualis LLC · MIT licensed.*</w:t>
      </w:r>
    </w:p>
    <w:p>
      <w:r>
        <w:rPr>
          <w:sz w:val="20"/>
        </w:rPr>
        <w:t>A toolkit of Claude Code commands, skills, and sub-agents for life-sciences regulatory</w:t>
      </w:r>
    </w:p>
    <w:p>
      <w:r>
        <w:rPr>
          <w:sz w:val="20"/>
        </w:rPr>
        <w:t>and computer-system-validation work — GAMP 5, 21 CFR Part 11, EU GMP Annex 11, the live</w:t>
      </w:r>
    </w:p>
    <w:p>
      <w:r>
        <w:rPr>
          <w:sz w:val="20"/>
        </w:rPr>
        <w:t>eCFR, openFDA, and an IQ/OQ/PQ qualification engine.</w:t>
      </w:r>
    </w:p>
    <w:p>
      <w:r>
        <w:rPr>
          <w:sz w:val="20"/>
        </w:rPr>
        <w:t xml:space="preserve">This is the </w:t>
      </w:r>
      <w:r>
        <w:rPr>
          <w:b/>
          <w:sz w:val="20"/>
        </w:rPr>
        <w:t>one place to understand the whole thing</w:t>
      </w:r>
      <w:r>
        <w:rPr>
          <w:sz w:val="20"/>
        </w:rPr>
        <w:t>. The catalog near the bottom is</w:t>
      </w:r>
    </w:p>
    <w:p>
      <w:r>
        <w:rPr>
          <w:sz w:val="20"/>
        </w:rPr>
        <w:t>generated from the repo itself, so it always matches what's installed.</w:t>
      </w:r>
    </w:p>
    <w:p>
      <w:pPr>
        <w:keepNext/>
        <w:spacing w:before="200" w:after="80"/>
      </w:pPr>
      <w:r>
        <w:rPr>
          <w:b/>
          <w:color w:val="276BB2"/>
          <w:sz w:val="28"/>
        </w:rPr>
        <w:t>The four building blocks</w:t>
      </w:r>
    </w:p>
    <w:tbl>
      <w:tblPr>
        <w:tblStyle w:val="LightGrid-Accent1"/>
        <w:tblW w:type="auto" w:w="0"/>
        <w:tblLayout w:type="autofit"/>
        <w:tblLook w:firstColumn="1" w:firstRow="1" w:lastColumn="0" w:lastRow="0" w:noHBand="0" w:noVBand="1" w:val="04A0"/>
      </w:tblPr>
      <w:tblGrid>
        <w:gridCol w:w="3528"/>
        <w:gridCol w:w="3528"/>
        <w:gridCol w:w="3528"/>
        <w:gridCol w:w="3528"/>
      </w:tblGrid>
      <w:tr>
        <w:tc>
          <w:tcPr>
            <w:tcW w:type="dxa" w:w="3528"/>
            <w:shd w:val="clear" w:fill="276BB2"/>
          </w:tcPr>
          <w:p>
            <w:r/>
            <w:r>
              <w:rPr>
                <w:b/>
                <w:color w:val="FFFFFF"/>
                <w:sz w:val="18"/>
              </w:rPr>
              <w:t>Block</w:t>
            </w:r>
          </w:p>
        </w:tc>
        <w:tc>
          <w:tcPr>
            <w:tcW w:type="dxa" w:w="3528"/>
            <w:shd w:val="clear" w:fill="276BB2"/>
          </w:tcPr>
          <w:p>
            <w:r/>
            <w:r>
              <w:rPr>
                <w:b/>
                <w:color w:val="FFFFFF"/>
                <w:sz w:val="18"/>
              </w:rPr>
              <w:t>What it is</w:t>
            </w:r>
          </w:p>
        </w:tc>
        <w:tc>
          <w:tcPr>
            <w:tcW w:type="dxa" w:w="3528"/>
            <w:shd w:val="clear" w:fill="276BB2"/>
          </w:tcPr>
          <w:p>
            <w:r/>
            <w:r>
              <w:rPr>
                <w:b/>
                <w:color w:val="FFFFFF"/>
                <w:sz w:val="18"/>
              </w:rPr>
              <w:t>You…</w:t>
            </w:r>
          </w:p>
        </w:tc>
        <w:tc>
          <w:tcPr>
            <w:tcW w:type="dxa" w:w="3528"/>
            <w:shd w:val="clear" w:fill="276BB2"/>
          </w:tcPr>
          <w:p>
            <w:r/>
            <w:r>
              <w:rPr>
                <w:b/>
                <w:color w:val="FFFFFF"/>
                <w:sz w:val="18"/>
              </w:rPr>
              <w:t>Example</w:t>
            </w:r>
          </w:p>
        </w:tc>
      </w:tr>
      <w:tr>
        <w:tc>
          <w:tcPr>
            <w:tcW w:type="dxa" w:w="3528"/>
          </w:tcPr>
          <w:p>
            <w:r/>
            <w:r>
              <w:rPr>
                <w:b/>
                <w:sz w:val="18"/>
              </w:rPr>
              <w:t>Command</w:t>
            </w:r>
          </w:p>
        </w:tc>
        <w:tc>
          <w:tcPr>
            <w:tcW w:type="dxa" w:w="3528"/>
          </w:tcPr>
          <w:p>
            <w:r/>
            <w:r>
              <w:rPr>
                <w:sz w:val="18"/>
              </w:rPr>
              <w:t>A saved prompt you trigger with `/name`</w:t>
            </w:r>
          </w:p>
        </w:tc>
        <w:tc>
          <w:tcPr>
            <w:tcW w:type="dxa" w:w="3528"/>
          </w:tcPr>
          <w:p>
            <w:r/>
            <w:r>
              <w:rPr>
                <w:sz w:val="18"/>
              </w:rPr>
              <w:t>type it</w:t>
            </w:r>
          </w:p>
        </w:tc>
        <w:tc>
          <w:tcPr>
            <w:tcW w:type="dxa" w:w="3528"/>
          </w:tcPr>
          <w:p>
            <w:r/>
            <w:r>
              <w:rPr>
                <w:sz w:val="18"/>
              </w:rPr>
              <w:t>`/cfr21-11:gap`</w:t>
            </w:r>
          </w:p>
        </w:tc>
      </w:tr>
      <w:tr>
        <w:tc>
          <w:tcPr>
            <w:tcW w:type="dxa" w:w="3528"/>
          </w:tcPr>
          <w:p>
            <w:r/>
            <w:r>
              <w:rPr>
                <w:b/>
                <w:sz w:val="18"/>
              </w:rPr>
              <w:t>Skill</w:t>
            </w:r>
          </w:p>
        </w:tc>
        <w:tc>
          <w:tcPr>
            <w:tcW w:type="dxa" w:w="3528"/>
          </w:tcPr>
          <w:p>
            <w:r/>
            <w:r>
              <w:rPr>
                <w:sz w:val="18"/>
              </w:rPr>
              <w:t xml:space="preserve">Expertise Claude pulls in </w:t>
            </w:r>
            <w:r>
              <w:rPr>
                <w:b/>
                <w:sz w:val="18"/>
              </w:rPr>
              <w:t>automatically</w:t>
            </w:r>
            <w:r>
              <w:rPr>
                <w:sz w:val="18"/>
              </w:rPr>
              <w:t xml:space="preserve"> when your request matches it</w:t>
            </w:r>
          </w:p>
        </w:tc>
        <w:tc>
          <w:tcPr>
            <w:tcW w:type="dxa" w:w="3528"/>
          </w:tcPr>
          <w:p>
            <w:r/>
            <w:r>
              <w:rPr>
                <w:sz w:val="18"/>
              </w:rPr>
              <w:t>just ask in plain English</w:t>
            </w:r>
          </w:p>
        </w:tc>
        <w:tc>
          <w:tcPr>
            <w:tcW w:type="dxa" w:w="3528"/>
          </w:tcPr>
          <w:p>
            <w:r/>
            <w:r>
              <w:rPr>
                <w:sz w:val="18"/>
              </w:rPr>
              <w:t>`part11-advisor`</w:t>
            </w:r>
          </w:p>
        </w:tc>
      </w:tr>
      <w:tr>
        <w:tc>
          <w:tcPr>
            <w:tcW w:type="dxa" w:w="3528"/>
          </w:tcPr>
          <w:p>
            <w:r/>
            <w:r>
              <w:rPr>
                <w:b/>
                <w:sz w:val="18"/>
              </w:rPr>
              <w:t>Sub-agent</w:t>
            </w:r>
          </w:p>
        </w:tc>
        <w:tc>
          <w:tcPr>
            <w:tcW w:type="dxa" w:w="3528"/>
          </w:tcPr>
          <w:p>
            <w:r/>
            <w:r>
              <w:rPr>
                <w:sz w:val="18"/>
              </w:rPr>
              <w:t xml:space="preserve">A specialist Claude </w:t>
            </w:r>
            <w:r>
              <w:rPr>
                <w:b/>
                <w:sz w:val="18"/>
              </w:rPr>
              <w:t>delegates to</w:t>
            </w:r>
            <w:r>
              <w:rPr>
                <w:sz w:val="18"/>
              </w:rPr>
              <w:t>, in its own context (several can run in parallel)</w:t>
            </w:r>
          </w:p>
        </w:tc>
        <w:tc>
          <w:tcPr>
            <w:tcW w:type="dxa" w:w="3528"/>
          </w:tcPr>
          <w:p>
            <w:r/>
            <w:r>
              <w:rPr>
                <w:sz w:val="18"/>
              </w:rPr>
              <w:t>don't invoke directly</w:t>
            </w:r>
          </w:p>
        </w:tc>
        <w:tc>
          <w:tcPr>
            <w:tcW w:type="dxa" w:w="3528"/>
          </w:tcPr>
          <w:p>
            <w:r/>
            <w:r>
              <w:rPr>
                <w:sz w:val="18"/>
              </w:rPr>
              <w:t>`iq-qualifier`</w:t>
            </w:r>
          </w:p>
        </w:tc>
      </w:tr>
      <w:tr>
        <w:tc>
          <w:tcPr>
            <w:tcW w:type="dxa" w:w="3528"/>
          </w:tcPr>
          <w:p>
            <w:r/>
            <w:r>
              <w:rPr>
                <w:b/>
                <w:sz w:val="18"/>
              </w:rPr>
              <w:t>MCP server (tool)</w:t>
            </w:r>
          </w:p>
        </w:tc>
        <w:tc>
          <w:tcPr>
            <w:tcW w:type="dxa" w:w="3528"/>
          </w:tcPr>
          <w:p>
            <w:r/>
            <w:r>
              <w:rPr>
                <w:sz w:val="18"/>
              </w:rPr>
              <w:t xml:space="preserve">Real executable </w:t>
            </w:r>
            <w:r>
              <w:rPr>
                <w:b/>
                <w:sz w:val="18"/>
              </w:rPr>
              <w:t>tools</w:t>
            </w:r>
            <w:r>
              <w:rPr>
                <w:sz w:val="18"/>
              </w:rPr>
              <w:t xml:space="preserve"> that reach external systems (APIs, databases) — code, not a prompt</w:t>
            </w:r>
          </w:p>
        </w:tc>
        <w:tc>
          <w:tcPr>
            <w:tcW w:type="dxa" w:w="3528"/>
          </w:tcPr>
          <w:p>
            <w:r/>
            <w:r>
              <w:rPr>
                <w:sz w:val="18"/>
              </w:rPr>
              <w:t>just ask; Claude calls the tool</w:t>
            </w:r>
          </w:p>
        </w:tc>
        <w:tc>
          <w:tcPr>
            <w:tcW w:type="dxa" w:w="3528"/>
          </w:tcPr>
          <w:p>
            <w:r/>
            <w:r>
              <w:rPr>
                <w:sz w:val="18"/>
              </w:rPr>
              <w:t>`openfda` (recalls/labels/events)</w:t>
            </w:r>
          </w:p>
        </w:tc>
      </w:tr>
      <w:tr>
        <w:tc>
          <w:tcPr>
            <w:tcW w:type="dxa" w:w="3528"/>
          </w:tcPr>
          <w:p>
            <w:r/>
            <w:r>
              <w:rPr>
                <w:b/>
                <w:sz w:val="18"/>
              </w:rPr>
              <w:t>The qualification engine</w:t>
            </w:r>
          </w:p>
        </w:tc>
        <w:tc>
          <w:tcPr>
            <w:tcW w:type="dxa" w:w="3528"/>
          </w:tcPr>
          <w:p>
            <w:r/>
            <w:r>
              <w:rPr>
                <w:sz w:val="18"/>
              </w:rPr>
              <w:t>`/qualify` + three sub-agents that produce an IQ/OQ/PQ pack</w:t>
            </w:r>
          </w:p>
        </w:tc>
        <w:tc>
          <w:tcPr>
            <w:tcW w:type="dxa" w:w="3528"/>
          </w:tcPr>
          <w:p>
            <w:r/>
            <w:r>
              <w:rPr>
                <w:sz w:val="18"/>
              </w:rPr>
              <w:t>run `/qualify &lt;app&gt;`</w:t>
            </w:r>
          </w:p>
        </w:tc>
        <w:tc>
          <w:tcPr>
            <w:tcW w:type="dxa" w:w="3528"/>
          </w:tcPr>
          <w:p>
            <w:r/>
            <w:r>
              <w:rPr>
                <w:sz w:val="18"/>
              </w:rPr>
              <w:t>see `how-to-qualify.md`</w:t>
            </w:r>
          </w:p>
        </w:tc>
      </w:tr>
    </w:tbl>
    <w:p>
      <w:r>
        <w:rPr>
          <w:b/>
          <w:sz w:val="20"/>
        </w:rPr>
        <w:t>Tools (MCP servers)</w:t>
      </w:r>
      <w:r>
        <w:rPr>
          <w:sz w:val="20"/>
        </w:rPr>
        <w:t xml:space="preserve"> live under `mcp-servers/`. The first is </w:t>
      </w:r>
      <w:r>
        <w:rPr>
          <w:b/>
          <w:sz w:val="20"/>
        </w:rPr>
        <w:t>openFDA</w:t>
      </w:r>
      <w:r>
        <w:rPr>
          <w:sz w:val="20"/>
        </w:rPr>
        <w:t xml:space="preserve"> — it gives</w:t>
      </w:r>
    </w:p>
    <w:p>
      <w:r>
        <w:rPr>
          <w:sz w:val="20"/>
        </w:rPr>
        <w:t>Claude tools to query FDA recalls, drug labels, and adverse-event reports directly. It's</w:t>
      </w:r>
    </w:p>
    <w:p>
      <w:r>
        <w:rPr>
          <w:sz w:val="20"/>
        </w:rPr>
        <w:t>opt-in (needs `pip install mcp` and a one-line registration); see</w:t>
      </w:r>
    </w:p>
    <w:p>
      <w:r>
        <w:rPr>
          <w:sz w:val="20"/>
        </w:rPr>
        <w:t>`mcp-servers/openfda/README.md`. Unlike commands/skills, an MCP server is a running</w:t>
      </w:r>
    </w:p>
    <w:p>
      <w:r>
        <w:rPr>
          <w:sz w:val="20"/>
        </w:rPr>
        <w:t>program, so it isn't symlinked by `install.sh` — you register it once with Claude Code.</w:t>
      </w:r>
    </w:p>
    <w:p>
      <w:r>
        <w:rPr>
          <w:sz w:val="20"/>
        </w:rPr>
        <w:t>Commands live in `commands/` (a sub-folder = a `family:` prefix). Skills live in</w:t>
      </w:r>
    </w:p>
    <w:p>
      <w:r>
        <w:rPr>
          <w:sz w:val="20"/>
        </w:rPr>
        <w:t>`skills/`. Sub-agents live in `agents/`. `install.sh` symlinks all three into</w:t>
      </w:r>
    </w:p>
    <w:p>
      <w:r>
        <w:rPr>
          <w:sz w:val="20"/>
        </w:rPr>
        <w:t xml:space="preserve">`~/.claude/` so they're available in </w:t>
      </w:r>
      <w:r>
        <w:rPr>
          <w:b/>
          <w:sz w:val="20"/>
        </w:rPr>
        <w:t>every</w:t>
      </w:r>
      <w:r>
        <w:rPr>
          <w:sz w:val="20"/>
        </w:rPr>
        <w:t xml:space="preserve"> project on the machine.</w:t>
      </w:r>
    </w:p>
    <w:p>
      <w:pPr>
        <w:keepNext/>
        <w:spacing w:before="200" w:after="80"/>
      </w:pPr>
      <w:r>
        <w:rPr>
          <w:b/>
          <w:color w:val="276BB2"/>
          <w:sz w:val="28"/>
        </w:rPr>
        <w:t>Quick start</w:t>
      </w:r>
    </w:p>
    <w:p>
      <w:r>
        <w:rPr>
          <w:sz w:val="20"/>
        </w:rPr>
        <w:t xml:space="preserve">1. </w:t>
      </w:r>
      <w:r>
        <w:rPr>
          <w:b/>
          <w:sz w:val="20"/>
        </w:rPr>
        <w:t>Install once:</w:t>
      </w:r>
      <w:r>
        <w:rPr>
          <w:sz w:val="20"/>
        </w:rPr>
        <w:t xml:space="preserve"> clone the repo (or download the ZIP), run `./install.sh`, restart</w:t>
      </w:r>
    </w:p>
    <w:p>
      <w:r>
        <w:rPr>
          <w:sz w:val="20"/>
        </w:rPr>
        <w:t xml:space="preserve">   Claude Code. (Full options — SSH/HTTPS/ZIP — in `how-to-qualify.md` §1.)</w:t>
      </w:r>
    </w:p>
    <w:p>
      <w:r>
        <w:rPr>
          <w:sz w:val="20"/>
        </w:rPr>
        <w:t xml:space="preserve">2. </w:t>
      </w:r>
      <w:r>
        <w:rPr>
          <w:b/>
          <w:sz w:val="20"/>
        </w:rPr>
        <w:t>Use a command:</w:t>
      </w:r>
      <w:r>
        <w:rPr>
          <w:sz w:val="20"/>
        </w:rPr>
        <w:t xml:space="preserve"> type `/` to see them, e.g. `/eCFR:structure 21 CFR 11`.</w:t>
      </w:r>
    </w:p>
    <w:p>
      <w:r>
        <w:rPr>
          <w:sz w:val="20"/>
        </w:rPr>
        <w:t xml:space="preserve">3. </w:t>
      </w:r>
      <w:r>
        <w:rPr>
          <w:b/>
          <w:sz w:val="20"/>
        </w:rPr>
        <w:t>Use a skill:</w:t>
      </w:r>
      <w:r>
        <w:rPr>
          <w:sz w:val="20"/>
        </w:rPr>
        <w:t xml:space="preserve"> just ask — *"is our cloud LIMS a Part 11 closed or open system?"* —</w:t>
      </w:r>
    </w:p>
    <w:p>
      <w:r>
        <w:rPr>
          <w:sz w:val="20"/>
        </w:rPr>
        <w:t xml:space="preserve">   and the relevant advisor fires on its own.</w:t>
      </w:r>
    </w:p>
    <w:p>
      <w:r>
        <w:rPr>
          <w:sz w:val="20"/>
        </w:rPr>
        <w:t xml:space="preserve">4. </w:t>
      </w:r>
      <w:r>
        <w:rPr>
          <w:b/>
          <w:sz w:val="20"/>
        </w:rPr>
        <w:t>Qualify an app:</w:t>
      </w:r>
      <w:r>
        <w:rPr>
          <w:sz w:val="20"/>
        </w:rPr>
        <w:t xml:space="preserve"> `/qualify &lt;path-to-the-app&gt;` → a draft IQ/OQ/PQ pack in</w:t>
      </w:r>
    </w:p>
    <w:p>
      <w:r>
        <w:rPr>
          <w:sz w:val="20"/>
        </w:rPr>
        <w:t xml:space="preserve">   `&lt;app&gt;/Qualification/`. See </w:t>
      </w:r>
      <w:r>
        <w:rPr>
          <w:b/>
          <w:sz w:val="20"/>
        </w:rPr>
        <w:t>`how-to-qualify.md`</w:t>
      </w:r>
      <w:r>
        <w:rPr>
          <w:sz w:val="20"/>
        </w:rPr>
        <w:t xml:space="preserve"> for the full walkthrough.</w:t>
      </w:r>
    </w:p>
    <w:p>
      <w:pPr>
        <w:keepNext/>
        <w:spacing w:before="200" w:after="80"/>
      </w:pPr>
      <w:r>
        <w:rPr>
          <w:b/>
          <w:color w:val="276BB2"/>
          <w:sz w:val="28"/>
        </w:rPr>
        <w:t>Key documents</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Document</w:t>
            </w:r>
          </w:p>
        </w:tc>
        <w:tc>
          <w:tcPr>
            <w:tcW w:type="dxa" w:w="7056"/>
            <w:shd w:val="clear" w:fill="276BB2"/>
          </w:tcPr>
          <w:p>
            <w:r/>
            <w:r>
              <w:rPr>
                <w:b/>
                <w:color w:val="FFFFFF"/>
                <w:sz w:val="18"/>
              </w:rPr>
              <w:t>What it covers</w:t>
            </w:r>
          </w:p>
        </w:tc>
      </w:tr>
      <w:tr>
        <w:tc>
          <w:tcPr>
            <w:tcW w:type="dxa" w:w="7056"/>
          </w:tcPr>
          <w:p>
            <w:r/>
            <w:r>
              <w:rPr>
                <w:sz w:val="18"/>
              </w:rPr>
              <w:t>`OVERVIEW.md` (this file)</w:t>
            </w:r>
          </w:p>
        </w:tc>
        <w:tc>
          <w:tcPr>
            <w:tcW w:type="dxa" w:w="7056"/>
          </w:tcPr>
          <w:p>
            <w:r/>
            <w:r>
              <w:rPr>
                <w:sz w:val="18"/>
              </w:rPr>
              <w:t>The whole toolkit at a glance + the live catalog</w:t>
            </w:r>
          </w:p>
        </w:tc>
      </w:tr>
      <w:tr>
        <w:tc>
          <w:tcPr>
            <w:tcW w:type="dxa" w:w="7056"/>
          </w:tcPr>
          <w:p>
            <w:r/>
            <w:r>
              <w:rPr>
                <w:sz w:val="18"/>
              </w:rPr>
              <w:t>`how-to-qualify.md`</w:t>
            </w:r>
          </w:p>
        </w:tc>
        <w:tc>
          <w:tcPr>
            <w:tcW w:type="dxa" w:w="7056"/>
          </w:tcPr>
          <w:p>
            <w:r/>
            <w:r>
              <w:rPr>
                <w:sz w:val="18"/>
              </w:rPr>
              <w:t>How to run `/qualify` on any app — setup, what to tell Claude, every output</w:t>
            </w:r>
          </w:p>
        </w:tc>
      </w:tr>
      <w:tr>
        <w:tc>
          <w:tcPr>
            <w:tcW w:type="dxa" w:w="7056"/>
          </w:tcPr>
          <w:p>
            <w:r/>
            <w:r>
              <w:rPr>
                <w:sz w:val="18"/>
              </w:rPr>
              <w:t>`xq-qualification-protocol.md`</w:t>
            </w:r>
          </w:p>
        </w:tc>
        <w:tc>
          <w:tcPr>
            <w:tcW w:type="dxa" w:w="7056"/>
          </w:tcPr>
          <w:p>
            <w:r/>
            <w:r>
              <w:rPr>
                <w:sz w:val="18"/>
              </w:rPr>
              <w:t>The qualification abstraction: test-cases, scripts, gap register, formats</w:t>
            </w:r>
          </w:p>
        </w:tc>
      </w:tr>
    </w:tbl>
    <w:p>
      <w:pPr>
        <w:keepNext/>
        <w:spacing w:before="200" w:after="80"/>
      </w:pPr>
      <w:r>
        <w:rPr>
          <w:b/>
          <w:color w:val="276BB2"/>
          <w:sz w:val="28"/>
        </w:rPr>
        <w:t>Principles the toolkit holds to</w:t>
      </w:r>
    </w:p>
    <w:p>
      <w:pPr>
        <w:pStyle w:val="ListBullet"/>
      </w:pPr>
      <w:r>
        <w:rPr>
          <w:b/>
          <w:sz w:val="20"/>
        </w:rPr>
        <w:t>Plain English, always</w:t>
      </w:r>
      <w:r>
        <w:rPr>
          <w:sz w:val="20"/>
        </w:rPr>
        <w:t xml:space="preserve"> — output is written so any reader follows it without decoding</w:t>
      </w:r>
    </w:p>
    <w:p>
      <w:r>
        <w:rPr>
          <w:sz w:val="20"/>
        </w:rPr>
        <w:t xml:space="preserve">  jargon; technical detail lives in the fix/script, not the explanation.</w:t>
      </w:r>
    </w:p>
    <w:p>
      <w:pPr>
        <w:pStyle w:val="ListBullet"/>
      </w:pPr>
      <w:r>
        <w:rPr>
          <w:b/>
          <w:sz w:val="20"/>
        </w:rPr>
        <w:t>No stack assumptions</w:t>
      </w:r>
      <w:r>
        <w:rPr>
          <w:sz w:val="20"/>
        </w:rPr>
        <w:t xml:space="preserve"> — the qualifier discovers the language, runtime, and databases</w:t>
      </w:r>
    </w:p>
    <w:p>
      <w:r>
        <w:rPr>
          <w:sz w:val="20"/>
        </w:rPr>
        <w:t xml:space="preserve">  (zero, one, or many) rather than assuming them.</w:t>
      </w:r>
    </w:p>
    <w:p>
      <w:pPr>
        <w:pStyle w:val="ListBullet"/>
      </w:pPr>
      <w:r>
        <w:rPr>
          <w:b/>
          <w:sz w:val="20"/>
        </w:rPr>
        <w:t>Expected values are sourced, not invented</w:t>
      </w:r>
      <w:r>
        <w:rPr>
          <w:sz w:val="20"/>
        </w:rPr>
        <w:t xml:space="preserve"> — from the spec or the system's own</w:t>
      </w:r>
    </w:p>
    <w:p>
      <w:r>
        <w:rPr>
          <w:sz w:val="20"/>
        </w:rPr>
        <w:t xml:space="preserve">  declarations, never hardcoded.</w:t>
      </w:r>
    </w:p>
    <w:p>
      <w:pPr>
        <w:pStyle w:val="ListBullet"/>
      </w:pPr>
      <w:r>
        <w:rPr>
          <w:b/>
          <w:sz w:val="20"/>
        </w:rPr>
        <w:t>Honest evidence</w:t>
      </w:r>
      <w:r>
        <w:rPr>
          <w:sz w:val="20"/>
        </w:rPr>
        <w:t xml:space="preserve"> — a skipped test is not a pass; errors are never swallowed silently.</w:t>
      </w:r>
    </w:p>
    <w:p>
      <w:pPr>
        <w:pStyle w:val="ListBullet"/>
      </w:pPr>
      <w:r>
        <w:rPr>
          <w:b/>
          <w:sz w:val="20"/>
        </w:rPr>
        <w:t>Markdown is the source of truth</w:t>
      </w:r>
      <w:r>
        <w:rPr>
          <w:sz w:val="20"/>
        </w:rPr>
        <w:t xml:space="preserve"> — Word/Excel are generated, never hand-edited.</w:t>
      </w:r>
    </w:p>
    <w:p>
      <w:pPr>
        <w:keepNext/>
        <w:spacing w:before="200" w:after="80"/>
      </w:pPr>
      <w:r>
        <w:rPr>
          <w:b/>
          <w:color w:val="276BB2"/>
          <w:sz w:val="28"/>
        </w:rPr>
        <w:t>Adding something new</w:t>
      </w:r>
    </w:p>
    <w:p>
      <w:pPr>
        <w:pStyle w:val="ListBullet"/>
      </w:pPr>
      <w:r>
        <w:rPr>
          <w:b/>
          <w:sz w:val="20"/>
        </w:rPr>
        <w:t>A command:</w:t>
      </w:r>
      <w:r>
        <w:rPr>
          <w:sz w:val="20"/>
        </w:rPr>
        <w:t xml:space="preserve"> drop a `.md` file in `commands/&lt;family&gt;/` (the folder becomes the</w:t>
      </w:r>
    </w:p>
    <w:p>
      <w:r>
        <w:rPr>
          <w:sz w:val="20"/>
        </w:rPr>
        <w:t xml:space="preserve">  `family:` prefix). Filename = command name. Body = the prompt.</w:t>
      </w:r>
    </w:p>
    <w:p>
      <w:pPr>
        <w:pStyle w:val="ListBullet"/>
      </w:pPr>
      <w:r>
        <w:rPr>
          <w:b/>
          <w:sz w:val="20"/>
        </w:rPr>
        <w:t>A skill:</w:t>
      </w:r>
      <w:r>
        <w:rPr>
          <w:sz w:val="20"/>
        </w:rPr>
        <w:t xml:space="preserve"> make `skills/&lt;name&gt;/SKILL.md` with `name` + `description` frontmatter; bundle</w:t>
      </w:r>
    </w:p>
    <w:p>
      <w:r>
        <w:rPr>
          <w:sz w:val="20"/>
        </w:rPr>
        <w:t xml:space="preserve">  reference files alongside it. The `description` is what makes Claude auto-invoke it.</w:t>
      </w:r>
    </w:p>
    <w:p>
      <w:pPr>
        <w:pStyle w:val="ListBullet"/>
      </w:pPr>
      <w:r>
        <w:rPr>
          <w:b/>
          <w:sz w:val="20"/>
        </w:rPr>
        <w:t>A sub-agent:</w:t>
      </w:r>
      <w:r>
        <w:rPr>
          <w:sz w:val="20"/>
        </w:rPr>
        <w:t xml:space="preserve"> make `agents/&lt;name&gt;.md` with `name` + `description` (+ optional `tools`,</w:t>
      </w:r>
    </w:p>
    <w:p>
      <w:r>
        <w:rPr>
          <w:sz w:val="20"/>
        </w:rPr>
        <w:t xml:space="preserve">  `model`). Used by the qualification engine.</w:t>
      </w:r>
    </w:p>
    <w:p>
      <w:pPr>
        <w:pStyle w:val="ListBullet"/>
      </w:pPr>
      <w:r>
        <w:rPr>
          <w:sz w:val="20"/>
        </w:rPr>
        <w:t xml:space="preserve">Then: `./install.sh` (links new families/skills/agents), </w:t>
      </w:r>
      <w:r>
        <w:rPr>
          <w:b/>
          <w:sz w:val="20"/>
        </w:rPr>
        <w:t>restart</w:t>
      </w:r>
      <w:r>
        <w:rPr>
          <w:sz w:val="20"/>
        </w:rPr>
        <w:t xml:space="preserve"> Claude Code, and</w:t>
      </w:r>
    </w:p>
    <w:p>
      <w:r>
        <w:rPr>
          <w:sz w:val="20"/>
        </w:rPr>
        <w:t xml:space="preserve">  `python3 docs/build_catalog.py` to refresh the catalog below.</w:t>
      </w:r>
    </w:p>
    <w:p>
      <w:pPr>
        <w:keepNext/>
        <w:spacing w:before="200" w:after="80"/>
      </w:pPr>
      <w:r>
        <w:rPr>
          <w:b/>
          <w:color w:val="276BB2"/>
          <w:sz w:val="28"/>
        </w:rPr>
        <w:t>Keeping this document current</w:t>
      </w:r>
    </w:p>
    <w:p>
      <w:r>
        <w:rPr>
          <w:sz w:val="20"/>
        </w:rPr>
        <w:t xml:space="preserve">The narrative above is hand-written; the </w:t>
      </w:r>
      <w:r>
        <w:rPr>
          <w:b/>
          <w:sz w:val="20"/>
        </w:rPr>
        <w:t>catalog below is generated</w:t>
      </w:r>
      <w:r>
        <w:rPr>
          <w:sz w:val="20"/>
        </w:rPr>
        <w:t xml:space="preserve"> from the repo, so</w:t>
      </w:r>
    </w:p>
    <w:p>
      <w:r>
        <w:rPr>
          <w:sz w:val="20"/>
        </w:rPr>
        <w:t>it can't drift. Two levels of automation:</w:t>
      </w:r>
    </w:p>
    <w:p>
      <w:pPr>
        <w:pStyle w:val="ListBullet"/>
      </w:pPr>
      <w:r>
        <w:rPr>
          <w:b/>
          <w:sz w:val="20"/>
        </w:rPr>
        <w:t>Automatic (catalog):</w:t>
      </w:r>
      <w:r>
        <w:rPr>
          <w:sz w:val="20"/>
        </w:rPr>
        <w:t xml:space="preserve"> a git </w:t>
      </w:r>
      <w:r>
        <w:rPr>
          <w:b/>
          <w:sz w:val="20"/>
        </w:rPr>
        <w:t>pre-commit hook</w:t>
      </w:r>
      <w:r>
        <w:rPr>
          <w:sz w:val="20"/>
        </w:rPr>
        <w:t xml:space="preserve"> (`.githooks/pre-commit`, enabled by</w:t>
      </w:r>
    </w:p>
    <w:p>
      <w:r>
        <w:rPr>
          <w:sz w:val="20"/>
        </w:rPr>
        <w:t xml:space="preserve">  `install.sh`) re-runs `build_catalog.py` and re-stages this file on every commit — so the</w:t>
      </w:r>
    </w:p>
    <w:p>
      <w:r>
        <w:rPr>
          <w:sz w:val="20"/>
        </w:rPr>
        <w:t xml:space="preserve">  Markdown catalog is always current without you remembering anything.</w:t>
      </w:r>
    </w:p>
    <w:p>
      <w:pPr>
        <w:pStyle w:val="ListBullet"/>
      </w:pPr>
      <w:r>
        <w:rPr>
          <w:b/>
          <w:sz w:val="20"/>
        </w:rPr>
        <w:t>On demand (Word):</w:t>
      </w:r>
      <w:r>
        <w:rPr>
          <w:sz w:val="20"/>
        </w:rPr>
        <w:t xml:space="preserve"> run `python3 docs/build_docs.py` to refresh the catalog </w:t>
      </w:r>
      <w:r>
        <w:rPr>
          <w:b/>
          <w:sz w:val="20"/>
        </w:rPr>
        <w:t>and</w:t>
      </w:r>
    </w:p>
    <w:p>
      <w:r>
        <w:rPr>
          <w:sz w:val="20"/>
        </w:rPr>
        <w:t xml:space="preserve">  render the branded Word versions (`OVERVIEW.docx`, `how-to-qualify.docx`,</w:t>
      </w:r>
    </w:p>
    <w:p>
      <w:r>
        <w:rPr>
          <w:sz w:val="20"/>
        </w:rPr>
        <w:t xml:space="preserve">  `xq-qualification-protocol.docx`). Do this before sharing — the `.docx` are binary, so</w:t>
      </w:r>
    </w:p>
    <w:p>
      <w:r>
        <w:rPr>
          <w:sz w:val="20"/>
        </w:rPr>
        <w:t xml:space="preserve">  they're not rebuilt on every commit.</w:t>
      </w:r>
    </w:p>
    <w:p>
      <w:r>
        <w:rPr>
          <w:sz w:val="20"/>
        </w:rPr>
        <w:t>You only hand-edit the narrative when the *concepts* change; the lists look after themselves.</w:t>
      </w:r>
    </w:p>
    <w:p>
      <w:pPr>
        <w:keepNext/>
        <w:spacing w:before="200" w:after="80"/>
      </w:pPr>
      <w:r>
        <w:rPr>
          <w:b/>
          <w:color w:val="276BB2"/>
          <w:sz w:val="28"/>
        </w:rPr>
        <w:t>Catalog</w:t>
      </w:r>
    </w:p>
    <w:p>
      <w:r>
        <w:rPr>
          <w:sz w:val="20"/>
        </w:rPr>
        <w:t>_Auto-generated by `docs/build_catalog.py` from the repo — do not hand-edit between the CATALOG markers; re-run the script instead._</w:t>
      </w:r>
    </w:p>
    <w:p>
      <w:pPr>
        <w:keepNext/>
        <w:spacing w:before="160" w:after="80"/>
      </w:pPr>
      <w:r>
        <w:rPr>
          <w:b/>
          <w:color w:val="276BB2"/>
          <w:sz w:val="24"/>
        </w:rPr>
        <w:t>Commands (you type these)</w:t>
      </w:r>
    </w:p>
    <w:p>
      <w:r>
        <w:rPr>
          <w:b/>
          <w:sz w:val="20"/>
        </w:rPr>
        <w:t>(top-level)</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`/qualify`</w:t>
            </w:r>
          </w:p>
        </w:tc>
        <w:tc>
          <w:tcPr>
            <w:tcW w:type="dxa" w:w="7056"/>
          </w:tcPr>
          <w:p>
            <w:r/>
            <w:r>
              <w:rPr>
                <w:sz w:val="18"/>
              </w:rPr>
              <w:t>Build (or verify) an IQ/OQ/PQ qualification package for a system by fanning out to the xQ specialist subagents in parallel</w:t>
            </w:r>
          </w:p>
        </w:tc>
      </w:tr>
    </w:tbl>
    <w:p>
      <w:r>
        <w:rPr>
          <w:b/>
          <w:sz w:val="20"/>
        </w:rPr>
        <w:t>cfr21-11</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`/cfr21-11:auditprep`</w:t>
            </w:r>
          </w:p>
        </w:tc>
        <w:tc>
          <w:tcPr>
            <w:tcW w:type="dxa" w:w="7056"/>
          </w:tcPr>
          <w:p>
            <w:r/>
            <w:r>
              <w:rPr>
                <w:sz w:val="18"/>
              </w:rPr>
              <w:t>Prepare for an FDA inspection of a computerized system against 21 CFR Part 11 (electronic records &amp; signatures) — likely questions, evidence to assemble, and weak points</w:t>
            </w:r>
          </w:p>
        </w:tc>
      </w:tr>
      <w:tr>
        <w:tc>
          <w:tcPr>
            <w:tcW w:type="dxa" w:w="7056"/>
          </w:tcPr>
          <w:p>
            <w:r/>
            <w:r>
              <w:rPr>
                <w:sz w:val="18"/>
              </w:rPr>
              <w:t>`/cfr21-11:checklist`</w:t>
            </w:r>
          </w:p>
        </w:tc>
        <w:tc>
          <w:tcPr>
            <w:tcW w:type="dxa" w:w="7056"/>
          </w:tcPr>
          <w:p>
            <w:r/>
            <w:r>
              <w:rPr>
                <w:sz w:val="18"/>
              </w:rPr>
              <w:t>Generate a tailored 21 CFR Part 11 controls checklist for a computerized system, to drive validation or audit</w:t>
            </w:r>
          </w:p>
        </w:tc>
      </w:tr>
      <w:tr>
        <w:tc>
          <w:tcPr>
            <w:tcW w:type="dxa" w:w="7056"/>
          </w:tcPr>
          <w:p>
            <w:r/>
            <w:r>
              <w:rPr>
                <w:sz w:val="18"/>
              </w:rPr>
              <w:t>`/cfr21-11:gap`</w:t>
            </w:r>
          </w:p>
        </w:tc>
        <w:tc>
          <w:tcPr>
            <w:tcW w:type="dxa" w:w="7056"/>
          </w:tcPr>
          <w:p>
            <w:r/>
            <w:r>
              <w:rPr>
                <w:sz w:val="18"/>
              </w:rPr>
              <w:t>Gap-assess a computerized system/process against 21 CFR Part 11, flagging compliance gaps with severity and remediation</w:t>
            </w:r>
          </w:p>
        </w:tc>
      </w:tr>
    </w:tbl>
    <w:p>
      <w:r>
        <w:rPr>
          <w:b/>
          <w:sz w:val="20"/>
        </w:rPr>
        <w:t>eCFR</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`/eCFR:changes`</w:t>
            </w:r>
          </w:p>
        </w:tc>
        <w:tc>
          <w:tcPr>
            <w:tcW w:type="dxa" w:w="7056"/>
          </w:tcPr>
          <w:p>
            <w:r/>
            <w:r>
              <w:rPr>
                <w:sz w:val="18"/>
              </w:rPr>
              <w:t>Show the amendment history of a CFR part (any Title) — which sections changed and when — from the eCFR</w:t>
            </w:r>
          </w:p>
        </w:tc>
      </w:tr>
      <w:tr>
        <w:tc>
          <w:tcPr>
            <w:tcW w:type="dxa" w:w="7056"/>
          </w:tcPr>
          <w:p>
            <w:r/>
            <w:r>
              <w:rPr>
                <w:sz w:val="18"/>
              </w:rPr>
              <w:t>`/eCFR:compare`</w:t>
            </w:r>
          </w:p>
        </w:tc>
        <w:tc>
          <w:tcPr>
            <w:tcW w:type="dxa" w:w="7056"/>
          </w:tcPr>
          <w:p>
            <w:r/>
            <w:r>
              <w:rPr>
                <w:sz w:val="18"/>
              </w:rPr>
              <w:t>Compare a CFR section/part between two dates (point-in-time) and show exactly what wording changed, from the eCFR</w:t>
            </w:r>
          </w:p>
        </w:tc>
      </w:tr>
      <w:tr>
        <w:tc>
          <w:tcPr>
            <w:tcW w:type="dxa" w:w="7056"/>
          </w:tcPr>
          <w:p>
            <w:r/>
            <w:r>
              <w:rPr>
                <w:sz w:val="18"/>
              </w:rPr>
              <w:t>`/eCFR:search`</w:t>
            </w:r>
          </w:p>
        </w:tc>
        <w:tc>
          <w:tcPr>
            <w:tcW w:type="dxa" w:w="7056"/>
          </w:tcPr>
          <w:p>
            <w:r/>
            <w:r>
              <w:rPr>
                <w:sz w:val="18"/>
              </w:rPr>
              <w:t>Full-text search the eCFR for a term or phrase and return the matching citations with excerpts</w:t>
            </w:r>
          </w:p>
        </w:tc>
      </w:tr>
      <w:tr>
        <w:tc>
          <w:tcPr>
            <w:tcW w:type="dxa" w:w="7056"/>
          </w:tcPr>
          <w:p>
            <w:r/>
            <w:r>
              <w:rPr>
                <w:sz w:val="18"/>
              </w:rPr>
              <w:t>`/eCFR:structure`</w:t>
            </w:r>
          </w:p>
        </w:tc>
        <w:tc>
          <w:tcPr>
            <w:tcW w:type="dxa" w:w="7056"/>
          </w:tcPr>
          <w:p>
            <w:r/>
            <w:r>
              <w:rPr>
                <w:sz w:val="18"/>
              </w:rPr>
              <w:t>Show the structure (headings only, no content) two levels below any eCFR reference — any Title, any level</w:t>
            </w:r>
          </w:p>
        </w:tc>
      </w:tr>
      <w:tr>
        <w:tc>
          <w:tcPr>
            <w:tcW w:type="dxa" w:w="7056"/>
          </w:tcPr>
          <w:p>
            <w:r/>
            <w:r>
              <w:rPr>
                <w:sz w:val="18"/>
              </w:rPr>
              <w:t>`/eCFR:text`</w:t>
            </w:r>
          </w:p>
        </w:tc>
        <w:tc>
          <w:tcPr>
            <w:tcW w:type="dxa" w:w="7056"/>
          </w:tcPr>
          <w:p>
            <w:r/>
            <w:r>
              <w:rPr>
                <w:sz w:val="18"/>
              </w:rPr>
              <w:t>Fetch the full current regulatory TEXT of a CFR section or part (any Title), live from the eCFR</w:t>
            </w:r>
          </w:p>
        </w:tc>
      </w:tr>
    </w:tbl>
    <w:p>
      <w:r>
        <w:rPr>
          <w:b/>
          <w:sz w:val="20"/>
        </w:rPr>
        <w:t>eu-annex11</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`/eu-annex11:auditprep`</w:t>
            </w:r>
          </w:p>
        </w:tc>
        <w:tc>
          <w:tcPr>
            <w:tcW w:type="dxa" w:w="7056"/>
          </w:tcPr>
          <w:p>
            <w:r/>
            <w:r>
              <w:rPr>
                <w:sz w:val="18"/>
              </w:rPr>
              <w:t>Prepare for an EU GMP inspection of a computerized system against Annex 11 — likely inspector questions, evidence, and weak points</w:t>
            </w:r>
          </w:p>
        </w:tc>
      </w:tr>
      <w:tr>
        <w:tc>
          <w:tcPr>
            <w:tcW w:type="dxa" w:w="7056"/>
          </w:tcPr>
          <w:p>
            <w:r/>
            <w:r>
              <w:rPr>
                <w:sz w:val="18"/>
              </w:rPr>
              <w:t>`/eu-annex11:checklist`</w:t>
            </w:r>
          </w:p>
        </w:tc>
        <w:tc>
          <w:tcPr>
            <w:tcW w:type="dxa" w:w="7056"/>
          </w:tcPr>
          <w:p>
            <w:r/>
            <w:r>
              <w:rPr>
                <w:sz w:val="18"/>
              </w:rPr>
              <w:t>Generate a tailored EU GMP Annex 11 controls checklist for a computerized system, to drive validation or inspection readiness</w:t>
            </w:r>
          </w:p>
        </w:tc>
      </w:tr>
      <w:tr>
        <w:tc>
          <w:tcPr>
            <w:tcW w:type="dxa" w:w="7056"/>
          </w:tcPr>
          <w:p>
            <w:r/>
            <w:r>
              <w:rPr>
                <w:sz w:val="18"/>
              </w:rPr>
              <w:t>`/eu-annex11:crosswalk`</w:t>
            </w:r>
          </w:p>
        </w:tc>
        <w:tc>
          <w:tcPr>
            <w:tcW w:type="dxa" w:w="7056"/>
          </w:tcPr>
          <w:p>
            <w:r/>
            <w:r>
              <w:rPr>
                <w:sz w:val="18"/>
              </w:rPr>
              <w:t>Crosswalk EU GMP Annex 11 against US 21 CFR Part 11 — where they align, where they diverge, and what satisfies both</w:t>
            </w:r>
          </w:p>
        </w:tc>
      </w:tr>
      <w:tr>
        <w:tc>
          <w:tcPr>
            <w:tcW w:type="dxa" w:w="7056"/>
          </w:tcPr>
          <w:p>
            <w:r/>
            <w:r>
              <w:rPr>
                <w:sz w:val="18"/>
              </w:rPr>
              <w:t>`/eu-annex11:gap`</w:t>
            </w:r>
          </w:p>
        </w:tc>
        <w:tc>
          <w:tcPr>
            <w:tcW w:type="dxa" w:w="7056"/>
          </w:tcPr>
          <w:p>
            <w:r/>
            <w:r>
              <w:rPr>
                <w:sz w:val="18"/>
              </w:rPr>
              <w:t>Gap-assess a computerized system against EU GMP Annex 11, flagging compliance gaps by clause with severity and remediation</w:t>
            </w:r>
          </w:p>
        </w:tc>
      </w:tr>
    </w:tbl>
    <w:p>
      <w:r>
        <w:rPr>
          <w:b/>
          <w:sz w:val="20"/>
        </w:rPr>
        <w:t>gamp</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`/gamp:assess`</w:t>
            </w:r>
          </w:p>
        </w:tc>
        <w:tc>
          <w:tcPr>
            <w:tcW w:type="dxa" w:w="7056"/>
          </w:tcPr>
          <w:p>
            <w:r/>
            <w:r>
              <w:rPr>
                <w:sz w:val="18"/>
              </w:rPr>
              <w:t>Assess a computerized system against GAMP 5 (2nd ed.) software categories and recommend validation rigor</w:t>
            </w:r>
          </w:p>
        </w:tc>
      </w:tr>
      <w:tr>
        <w:tc>
          <w:tcPr>
            <w:tcW w:type="dxa" w:w="7056"/>
          </w:tcPr>
          <w:p>
            <w:r/>
            <w:r>
              <w:rPr>
                <w:sz w:val="18"/>
              </w:rPr>
              <w:t>`/gamp:testplan`</w:t>
            </w:r>
          </w:p>
        </w:tc>
        <w:tc>
          <w:tcPr>
            <w:tcW w:type="dxa" w:w="7056"/>
          </w:tcPr>
          <w:p>
            <w:r/>
            <w:r>
              <w:rPr>
                <w:sz w:val="18"/>
              </w:rPr>
              <w:t>Draft a risk-based GAMP 5 validation test plan (IQ/OQ/PQ) for a computerized system, scaled to its category and risk</w:t>
            </w:r>
          </w:p>
        </w:tc>
      </w:tr>
    </w:tbl>
    <w:p>
      <w:r>
        <w:rPr>
          <w:b/>
          <w:sz w:val="20"/>
        </w:rPr>
        <w:t>openfda</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Command</w:t>
            </w:r>
          </w:p>
        </w:tc>
        <w:tc>
          <w:tcPr>
            <w:tcW w:type="dxa" w:w="7056"/>
            <w:shd w:val="clear" w:fill="276BB2"/>
          </w:tcPr>
          <w:p>
            <w:r/>
            <w:r>
              <w:rPr>
                <w:b/>
                <w:color w:val="FFFFFF"/>
                <w:sz w:val="18"/>
              </w:rPr>
              <w:t>What it does</w:t>
            </w:r>
          </w:p>
        </w:tc>
      </w:tr>
      <w:tr>
        <w:tc>
          <w:tcPr>
            <w:tcW w:type="dxa" w:w="7056"/>
          </w:tcPr>
          <w:p>
            <w:r/>
            <w:r>
              <w:rPr>
                <w:sz w:val="18"/>
              </w:rPr>
              <w:t>`/openfda:setup`</w:t>
            </w:r>
          </w:p>
        </w:tc>
        <w:tc>
          <w:tcPr>
            <w:tcW w:type="dxa" w:w="7056"/>
          </w:tcPr>
          <w:p>
            <w:r/>
            <w:r>
              <w:rPr>
                <w:sz w:val="18"/>
              </w:rPr>
              <w:t>Check for an openFDA API key and, if it's missing, help the user get a free one and save it to a shell file of their choice</w:t>
            </w:r>
          </w:p>
        </w:tc>
      </w:tr>
    </w:tbl>
    <w:p>
      <w:pPr>
        <w:keepNext/>
        <w:spacing w:before="160" w:after="80"/>
      </w:pPr>
      <w:r>
        <w:rPr>
          <w:b/>
          <w:color w:val="276BB2"/>
          <w:sz w:val="24"/>
        </w:rPr>
        <w:t>Skills (Claude invokes these automatically)</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Skill</w:t>
            </w:r>
          </w:p>
        </w:tc>
        <w:tc>
          <w:tcPr>
            <w:tcW w:type="dxa" w:w="7056"/>
            <w:shd w:val="clear" w:fill="276BB2"/>
          </w:tcPr>
          <w:p>
            <w:r/>
            <w:r>
              <w:rPr>
                <w:b/>
                <w:color w:val="FFFFFF"/>
                <w:sz w:val="18"/>
              </w:rPr>
              <w:t>What it does</w:t>
            </w:r>
          </w:p>
        </w:tc>
      </w:tr>
      <w:tr>
        <w:tc>
          <w:tcPr>
            <w:tcW w:type="dxa" w:w="7056"/>
          </w:tcPr>
          <w:p>
            <w:r/>
            <w:r>
              <w:rPr>
                <w:sz w:val="18"/>
              </w:rPr>
              <w:t>`gamp-advisor`</w:t>
            </w:r>
          </w:p>
        </w:tc>
        <w:tc>
          <w:tcPr>
            <w:tcW w:type="dxa" w:w="7056"/>
          </w:tcPr>
          <w:p>
            <w:r/>
            <w:r>
              <w:rPr>
                <w:sz w:val="18"/>
              </w:rPr>
              <w:t>Expert advisor on GAMP 5 (2nd ed.) risk-based computerized system validation (CSV). Use whenever the user asks about GAMP software categories (1/3/4/5), how to categorize a computerized or GxP system, how much validation rigor a system needs, IQ/OQ/PQ scope, URS/functional/design specifications, supplier/vendor assessment, configured vs. custom (bespoke) software, hybrid systems with custom scripts on a configured platform, or proportionate/risk-based CSV lifecycle deliverables for pharma/medtech systems. Also covers validation of AI/ML- and GenAI/LLM-enabled GxP systems (model validation, training-data integrity, drift monitoring, human oversight) per the ISPE GAMP Guide: Artificial Intelligence. Reasons against the bundled GAMP 5 category framework and AI/ML reference.</w:t>
            </w:r>
          </w:p>
        </w:tc>
      </w:tr>
      <w:tr>
        <w:tc>
          <w:tcPr>
            <w:tcW w:type="dxa" w:w="7056"/>
          </w:tcPr>
          <w:p>
            <w:r/>
            <w:r>
              <w:rPr>
                <w:sz w:val="18"/>
              </w:rPr>
              <w:t>`part11-advisor`</w:t>
            </w:r>
          </w:p>
        </w:tc>
        <w:tc>
          <w:tcPr>
            <w:tcW w:type="dxa" w:w="7056"/>
          </w:tcPr>
          <w:p>
            <w:r/>
            <w:r>
              <w:rPr>
                <w:sz w:val="18"/>
              </w:rPr>
              <w:t>Expert advisor on FDA 21 CFR Part 11 (electronic records and electronic signatures). Use whenever the user asks about Part 11 compliance, electronic records or signatures, audit trails, closed vs. open systems, e-signature components/controls, record retention or copies for the agency, ALCOA+ data integrity under Part 11, a Part 11 gap or inspection readiness, or whether a computerized/GxP system meets §11.10, §11.30, §11.50, §11.70, §11.100, §11.200, or §11.300. Reasons against the bundled verbatim regulation text and cites the exact paragraph.</w:t>
            </w:r>
          </w:p>
        </w:tc>
      </w:tr>
    </w:tbl>
    <w:p>
      <w:pPr>
        <w:keepNext/>
        <w:spacing w:before="160" w:after="80"/>
      </w:pPr>
      <w:r>
        <w:rPr>
          <w:b/>
          <w:color w:val="276BB2"/>
          <w:sz w:val="24"/>
        </w:rPr>
        <w:t>Sub-agents (run in parallel by `/qualify`)</w:t>
      </w:r>
    </w:p>
    <w:tbl>
      <w:tblPr>
        <w:tblStyle w:val="LightGrid-Accent1"/>
        <w:tblW w:type="auto" w:w="0"/>
        <w:tblLayout w:type="autofit"/>
        <w:tblLook w:firstColumn="1" w:firstRow="1" w:lastColumn="0" w:lastRow="0" w:noHBand="0" w:noVBand="1" w:val="04A0"/>
      </w:tblPr>
      <w:tblGrid>
        <w:gridCol w:w="7056"/>
        <w:gridCol w:w="7056"/>
      </w:tblGrid>
      <w:tr>
        <w:tc>
          <w:tcPr>
            <w:tcW w:type="dxa" w:w="7056"/>
            <w:shd w:val="clear" w:fill="276BB2"/>
          </w:tcPr>
          <w:p>
            <w:r/>
            <w:r>
              <w:rPr>
                <w:b/>
                <w:color w:val="FFFFFF"/>
                <w:sz w:val="18"/>
              </w:rPr>
              <w:t>Sub-agent</w:t>
            </w:r>
          </w:p>
        </w:tc>
        <w:tc>
          <w:tcPr>
            <w:tcW w:type="dxa" w:w="7056"/>
            <w:shd w:val="clear" w:fill="276BB2"/>
          </w:tcPr>
          <w:p>
            <w:r/>
            <w:r>
              <w:rPr>
                <w:b/>
                <w:color w:val="FFFFFF"/>
                <w:sz w:val="18"/>
              </w:rPr>
              <w:t>What it does</w:t>
            </w:r>
          </w:p>
        </w:tc>
      </w:tr>
      <w:tr>
        <w:tc>
          <w:tcPr>
            <w:tcW w:type="dxa" w:w="7056"/>
          </w:tcPr>
          <w:p>
            <w:r/>
            <w:r>
              <w:rPr>
                <w:sz w:val="18"/>
              </w:rPr>
              <w:t>`iq-qualifier`</w:t>
            </w:r>
          </w:p>
        </w:tc>
        <w:tc>
          <w:tcPr>
            <w:tcW w:type="dxa" w:w="7056"/>
          </w:tcPr>
          <w:p>
            <w:r/>
            <w:r>
              <w:rPr>
                <w:sz w:val="18"/>
              </w:rPr>
              <w:t>Installation Qualification (IQ) specialist. Use to examine a system's TECH STACK and installed/configured state and produce IQ evidence — or, in verify mode, to pre-check IQ items in an existing qualification pack against what's actually present. Delegated to by the /qualify orchestrator, typically in parallel with oq-qualifier and pq-qualifier.</w:t>
            </w:r>
          </w:p>
        </w:tc>
      </w:tr>
      <w:tr>
        <w:tc>
          <w:tcPr>
            <w:tcW w:type="dxa" w:w="7056"/>
          </w:tcPr>
          <w:p>
            <w:r/>
            <w:r>
              <w:rPr>
                <w:sz w:val="18"/>
              </w:rPr>
              <w:t>`oq-qualifier`</w:t>
            </w:r>
          </w:p>
        </w:tc>
        <w:tc>
          <w:tcPr>
            <w:tcW w:type="dxa" w:w="7056"/>
          </w:tcPr>
          <w:p>
            <w:r/>
            <w:r>
              <w:rPr>
                <w:sz w:val="18"/>
              </w:rPr>
              <w:t>Operational Qualification (OQ) specialist. Use to examine HOW a system has been built — its functions, configuration logic, build pipeline, and tests — and produce OQ evidence that it operates per specification; or, in verify mode, pre-check OQ items in an existing pack. Delegated to by /qualify, usually in parallel with iq-qualifier and pq-qualifier.</w:t>
            </w:r>
          </w:p>
        </w:tc>
      </w:tr>
      <w:tr>
        <w:tc>
          <w:tcPr>
            <w:tcW w:type="dxa" w:w="7056"/>
          </w:tcPr>
          <w:p>
            <w:r/>
            <w:r>
              <w:rPr>
                <w:sz w:val="18"/>
              </w:rPr>
              <w:t>`pq-qualifier`</w:t>
            </w:r>
          </w:p>
        </w:tc>
        <w:tc>
          <w:tcPr>
            <w:tcW w:type="dxa" w:w="7056"/>
          </w:tcPr>
          <w:p>
            <w:r/>
            <w:r>
              <w:rPr>
                <w:sz w:val="18"/>
              </w:rPr>
              <w:t>Performance Qualification (PQ) specialist. Use to verify a system DOES WHAT IT IS SUPPOSED TO in its intended use — requirements vs. actual behaviour, end-to-end workflows, representative data — and produce PQ evidence; or, in verify mode, pre-check PQ items in an existing pack. Delegated to by /qualify, usually in parallel with iq-qualifier and oq-qualifier.</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OVERVIEW</dc:title>
  <dc:subject/>
  <dc:creator>ParaQualis LLC</dc:creator>
  <cp:keywords/>
  <dc:description>generated by python-docx</dc:description>
  <cp:lastModifiedBy>ParaQualis LLC</cp:lastModifiedBy>
  <cp:revision>1</cp:revision>
  <dcterms:created xsi:type="dcterms:W3CDTF">2013-12-23T23:15:00Z</dcterms:created>
  <dcterms:modified xsi:type="dcterms:W3CDTF">2013-12-23T23:15:00Z</dcterms:modified>
  <cp:category/>
</cp:coreProperties>
</file>