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80"/>
      </w:pPr>
      <w:r>
        <w:rPr>
          <w:b/>
          <w:color w:val="276BB2"/>
          <w:sz w:val="36"/>
        </w:rPr>
        <w:t>Gap Analysis — paraqualis-skills v1.2.0</w:t>
      </w:r>
    </w:p>
    <w:p>
      <w:r>
        <w:rPr>
          <w:b/>
          <w:sz w:val="20"/>
        </w:rPr>
        <w:t>DRAFT — pending review and approval by appropriately qualified and authorized personnel.</w:t>
      </w:r>
    </w:p>
    <w:p>
      <w:r>
        <w:rPr>
          <w:sz w:val="20"/>
        </w:rPr>
        <w:t>This is the consolidated gap register for the qualification pack — both the auditable QA</w:t>
      </w:r>
    </w:p>
    <w:p>
      <w:r>
        <w:rPr>
          <w:sz w:val="20"/>
        </w:rPr>
        <w:t xml:space="preserve">deliverable </w:t>
      </w:r>
      <w:r>
        <w:rPr>
          <w:b/>
          <w:sz w:val="20"/>
        </w:rPr>
        <w:t>and</w:t>
      </w:r>
      <w:r>
        <w:rPr>
          <w:sz w:val="20"/>
        </w:rPr>
        <w:t xml:space="preserve"> the file an engineer feeds to Claude in the repo to close the gaps. Each</w:t>
      </w:r>
    </w:p>
    <w:p>
      <w:r>
        <w:rPr>
          <w:sz w:val="20"/>
        </w:rPr>
        <w:t>gap is stage-prefixed (`GIQ`/`GOQ`/`GPQ`) so the three parallel stages never collide. Gaps</w:t>
      </w:r>
    </w:p>
    <w:p>
      <w:r>
        <w:rPr>
          <w:sz w:val="20"/>
        </w:rPr>
        <w:t xml:space="preserve">surfaced by more than one stage are </w:t>
      </w:r>
      <w:r>
        <w:rPr>
          <w:b/>
          <w:sz w:val="20"/>
        </w:rPr>
        <w:t>merged into a single entry</w:t>
      </w:r>
      <w:r>
        <w:rPr>
          <w:sz w:val="20"/>
        </w:rPr>
        <w:t>, named for the stage of</w:t>
      </w:r>
    </w:p>
    <w:p>
      <w:r>
        <w:rPr>
          <w:sz w:val="20"/>
        </w:rPr>
        <w:t>greatest impact, with every contributing test-case listed. A gap is **closed only when its</w:t>
      </w:r>
    </w:p>
    <w:p>
      <w:r>
        <w:rPr>
          <w:sz w:val="20"/>
        </w:rPr>
        <w:t>Definition-of-Done test-case passes.**</w:t>
      </w:r>
    </w:p>
    <w:p>
      <w:pPr>
        <w:keepNext/>
        <w:spacing w:before="200" w:after="80"/>
      </w:pPr>
      <w:r>
        <w:rPr>
          <w:b/>
          <w:color w:val="276BB2"/>
          <w:sz w:val="28"/>
        </w:rPr>
        <w:t>Consolidated gap register</w:t>
      </w:r>
    </w:p>
    <w:tbl>
      <w:tblPr>
        <w:tblStyle w:val="LightGrid-Accent1"/>
        <w:tblW w:type="auto" w:w="0"/>
        <w:tblLayout w:type="autofit"/>
        <w:tblLook w:firstColumn="1" w:firstRow="1" w:lastColumn="0" w:lastRow="0" w:noHBand="0" w:noVBand="1" w:val="04A0"/>
      </w:tblPr>
      <w:tblGrid>
        <w:gridCol w:w="1411"/>
        <w:gridCol w:w="1411"/>
        <w:gridCol w:w="1411"/>
        <w:gridCol w:w="1411"/>
        <w:gridCol w:w="1411"/>
        <w:gridCol w:w="1411"/>
        <w:gridCol w:w="1411"/>
        <w:gridCol w:w="1411"/>
        <w:gridCol w:w="1411"/>
        <w:gridCol w:w="1411"/>
      </w:tblGrid>
      <w:tr>
        <w:tc>
          <w:tcPr>
            <w:tcW w:type="dxa" w:w="1411"/>
            <w:shd w:val="clear" w:fill="276BB2"/>
          </w:tcPr>
          <w:p>
            <w:r/>
            <w:r>
              <w:rPr>
                <w:b/>
                <w:color w:val="FFFFFF"/>
                <w:sz w:val="18"/>
              </w:rPr>
              <w:t>Gap ID</w:t>
            </w:r>
          </w:p>
        </w:tc>
        <w:tc>
          <w:tcPr>
            <w:tcW w:type="dxa" w:w="1411"/>
            <w:shd w:val="clear" w:fill="276BB2"/>
          </w:tcPr>
          <w:p>
            <w:r/>
            <w:r>
              <w:rPr>
                <w:b/>
                <w:color w:val="FFFFFF"/>
                <w:sz w:val="18"/>
              </w:rPr>
              <w:t>Source test-case(s)</w:t>
            </w:r>
          </w:p>
        </w:tc>
        <w:tc>
          <w:tcPr>
            <w:tcW w:type="dxa" w:w="1411"/>
            <w:shd w:val="clear" w:fill="276BB2"/>
          </w:tcPr>
          <w:p>
            <w:r/>
            <w:r>
              <w:rPr>
                <w:b/>
                <w:color w:val="FFFFFF"/>
                <w:sz w:val="18"/>
              </w:rPr>
              <w:t>Description — what it is and why it matters (plain language)</w:t>
            </w:r>
          </w:p>
        </w:tc>
        <w:tc>
          <w:tcPr>
            <w:tcW w:type="dxa" w:w="1411"/>
            <w:shd w:val="clear" w:fill="276BB2"/>
          </w:tcPr>
          <w:p>
            <w:r/>
            <w:r>
              <w:rPr>
                <w:b/>
                <w:color w:val="FFFFFF"/>
                <w:sz w:val="18"/>
              </w:rPr>
              <w:t>Severity</w:t>
            </w:r>
          </w:p>
        </w:tc>
        <w:tc>
          <w:tcPr>
            <w:tcW w:type="dxa" w:w="1411"/>
            <w:shd w:val="clear" w:fill="276BB2"/>
          </w:tcPr>
          <w:p>
            <w:r/>
            <w:r>
              <w:rPr>
                <w:b/>
                <w:color w:val="FFFFFF"/>
                <w:sz w:val="18"/>
              </w:rPr>
              <w:t>Regulatory linkage</w:t>
            </w:r>
          </w:p>
        </w:tc>
        <w:tc>
          <w:tcPr>
            <w:tcW w:type="dxa" w:w="1411"/>
            <w:shd w:val="clear" w:fill="276BB2"/>
          </w:tcPr>
          <w:p>
            <w:r/>
            <w:r>
              <w:rPr>
                <w:b/>
                <w:color w:val="FFFFFF"/>
                <w:sz w:val="18"/>
              </w:rPr>
              <w:t>Recommended remediation</w:t>
            </w:r>
          </w:p>
        </w:tc>
        <w:tc>
          <w:tcPr>
            <w:tcW w:type="dxa" w:w="1411"/>
            <w:shd w:val="clear" w:fill="276BB2"/>
          </w:tcPr>
          <w:p>
            <w:r/>
            <w:r>
              <w:rPr>
                <w:b/>
                <w:color w:val="FFFFFF"/>
                <w:sz w:val="18"/>
              </w:rPr>
              <w:t>Target location</w:t>
            </w:r>
          </w:p>
        </w:tc>
        <w:tc>
          <w:tcPr>
            <w:tcW w:type="dxa" w:w="1411"/>
            <w:shd w:val="clear" w:fill="276BB2"/>
          </w:tcPr>
          <w:p>
            <w:r/>
            <w:r>
              <w:rPr>
                <w:b/>
                <w:color w:val="FFFFFF"/>
                <w:sz w:val="18"/>
              </w:rPr>
              <w:t>Definition of done</w:t>
            </w:r>
          </w:p>
        </w:tc>
        <w:tc>
          <w:tcPr>
            <w:tcW w:type="dxa" w:w="1411"/>
            <w:shd w:val="clear" w:fill="276BB2"/>
          </w:tcPr>
          <w:p>
            <w:r/>
            <w:r>
              <w:rPr>
                <w:b/>
                <w:color w:val="FFFFFF"/>
                <w:sz w:val="18"/>
              </w:rPr>
              <w:t>Owner</w:t>
            </w:r>
          </w:p>
        </w:tc>
        <w:tc>
          <w:tcPr>
            <w:tcW w:type="dxa" w:w="1411"/>
            <w:shd w:val="clear" w:fill="276BB2"/>
          </w:tcPr>
          <w:p>
            <w:r/>
            <w:r>
              <w:rPr>
                <w:b/>
                <w:color w:val="FFFFFF"/>
                <w:sz w:val="18"/>
              </w:rPr>
              <w:t>Status</w:t>
            </w:r>
          </w:p>
        </w:tc>
      </w:tr>
      <w:tr>
        <w:tc>
          <w:tcPr>
            <w:tcW w:type="dxa" w:w="1411"/>
          </w:tcPr>
          <w:p>
            <w:r/>
            <w:r>
              <w:rPr>
                <w:b/>
                <w:sz w:val="18"/>
              </w:rPr>
              <w:t>GPQ-001</w:t>
            </w:r>
          </w:p>
        </w:tc>
        <w:tc>
          <w:tcPr>
            <w:tcW w:type="dxa" w:w="1411"/>
          </w:tcPr>
          <w:p>
            <w:r/>
            <w:r>
              <w:rPr>
                <w:sz w:val="18"/>
              </w:rPr>
              <w:t>PQ stage (all PQ traces)</w:t>
            </w:r>
          </w:p>
        </w:tc>
        <w:tc>
          <w:tcPr>
            <w:tcW w:type="dxa" w:w="1411"/>
          </w:tcPr>
          <w:p>
            <w:r/>
            <w:r>
              <w:rPr>
                <w:b/>
                <w:sz w:val="18"/>
              </w:rPr>
              <w:t>No approved requirements specification existed.</w:t>
            </w:r>
            <w:r>
              <w:rPr>
                <w:sz w:val="18"/>
              </w:rPr>
              <w:t xml:space="preserve"> A system can only be qualified against a defined statement of what it is supposed to do. None existed, so there was nothing for Performance Qualification to prove the system against. A DRAFT URS has now been authored inside the pack, but until the system owner reviews and approves it, every PQ result is provisional and PQ completeness is capped.</w:t>
            </w:r>
          </w:p>
        </w:tc>
        <w:tc>
          <w:tcPr>
            <w:tcW w:type="dxa" w:w="1411"/>
          </w:tcPr>
          <w:p>
            <w:r/>
            <w:r>
              <w:rPr>
                <w:sz w:val="18"/>
              </w:rPr>
              <w:t>Critical</w:t>
            </w:r>
          </w:p>
        </w:tc>
        <w:tc>
          <w:tcPr>
            <w:tcW w:type="dxa" w:w="1411"/>
          </w:tcPr>
          <w:p>
            <w:r/>
            <w:r>
              <w:rPr>
                <w:sz w:val="18"/>
              </w:rPr>
              <w:t>GAMP 5 lifecycle; EU GMP Annex 11 cl.4; 21 CFR Part 11 (defined, controlled system)</w:t>
            </w:r>
          </w:p>
        </w:tc>
        <w:tc>
          <w:tcPr>
            <w:tcW w:type="dxa" w:w="1411"/>
          </w:tcPr>
          <w:p>
            <w:r/>
            <w:r>
              <w:rPr>
                <w:sz w:val="18"/>
              </w:rPr>
              <w:t>System owner reviews, corrects, and approves `requirements/URS.md`; re-run `/qualify:build` so PQ traces to the approved version.</w:t>
            </w:r>
          </w:p>
        </w:tc>
        <w:tc>
          <w:tcPr>
            <w:tcW w:type="dxa" w:w="1411"/>
          </w:tcPr>
          <w:p>
            <w:r/>
            <w:r>
              <w:rPr>
                <w:sz w:val="18"/>
              </w:rPr>
              <w:t>`Qualification/requirements/URS.md`</w:t>
            </w:r>
          </w:p>
        </w:tc>
        <w:tc>
          <w:tcPr>
            <w:tcW w:type="dxa" w:w="1411"/>
          </w:tcPr>
          <w:p>
            <w:r/>
            <w:r>
              <w:rPr>
                <w:sz w:val="18"/>
              </w:rPr>
              <w:t>URS approved by authorized personnel; PQ re-run with every case traced to an approved requirement.</w:t>
            </w:r>
          </w:p>
        </w:tc>
        <w:tc>
          <w:tcPr>
            <w:tcW w:type="dxa" w:w="1411"/>
          </w:tcPr>
          <w:p>
            <w:r/>
            <w:r>
              <w:rPr>
                <w:sz w:val="18"/>
              </w:rPr>
              <w:t>System owner</w:t>
            </w:r>
          </w:p>
        </w:tc>
        <w:tc>
          <w:tcPr>
            <w:tcW w:type="dxa" w:w="1411"/>
          </w:tcPr>
          <w:p>
            <w:r/>
            <w:r>
              <w:rPr>
                <w:sz w:val="18"/>
              </w:rPr>
              <w:t>Open</w:t>
            </w:r>
          </w:p>
        </w:tc>
      </w:tr>
      <w:tr>
        <w:tc>
          <w:tcPr>
            <w:tcW w:type="dxa" w:w="1411"/>
          </w:tcPr>
          <w:p>
            <w:r/>
            <w:r>
              <w:rPr>
                <w:b/>
                <w:sz w:val="18"/>
              </w:rPr>
              <w:t>GIQ-005</w:t>
            </w:r>
          </w:p>
        </w:tc>
        <w:tc>
          <w:tcPr>
            <w:tcW w:type="dxa" w:w="1411"/>
          </w:tcPr>
          <w:p>
            <w:r/>
            <w:r>
              <w:rPr>
                <w:sz w:val="18"/>
              </w:rPr>
              <w:t>IQ-009</w:t>
            </w:r>
          </w:p>
        </w:tc>
        <w:tc>
          <w:tcPr>
            <w:tcW w:type="dxa" w:w="1411"/>
          </w:tcPr>
          <w:p>
            <w:r/>
            <w:r>
              <w:rPr>
                <w:b/>
                <w:sz w:val="18"/>
              </w:rPr>
              <w:t>The document-protection control is not switched on.</w:t>
            </w:r>
            <w:r>
              <w:rPr>
                <w:sz w:val="18"/>
              </w:rPr>
              <w:t xml:space="preserve"> The toolkit ships a hook that stops an approved, locked record from being edited in place — but it is not registered in Claude Code's settings on this machine, so it never fires. Approved qualification records could be silently overwritten, defeating the very control the toolkit provides.</w:t>
            </w:r>
          </w:p>
        </w:tc>
        <w:tc>
          <w:tcPr>
            <w:tcW w:type="dxa" w:w="1411"/>
          </w:tcPr>
          <w:p>
            <w:r/>
            <w:r>
              <w:rPr>
                <w:sz w:val="18"/>
              </w:rPr>
              <w:t>Critical</w:t>
            </w:r>
          </w:p>
        </w:tc>
        <w:tc>
          <w:tcPr>
            <w:tcW w:type="dxa" w:w="1411"/>
          </w:tcPr>
          <w:p>
            <w:r/>
            <w:r>
              <w:rPr>
                <w:sz w:val="18"/>
              </w:rPr>
              <w:t>21 CFR Part 11 §11.10(a),(c),(d),(e); EU Annex 11 cl.9, cl.12</w:t>
            </w:r>
          </w:p>
        </w:tc>
        <w:tc>
          <w:tcPr>
            <w:tcW w:type="dxa" w:w="1411"/>
          </w:tcPr>
          <w:p>
            <w:r/>
            <w:r>
              <w:rPr>
                <w:sz w:val="18"/>
              </w:rPr>
              <w:t>Register the `PreToolUse` hook in `settings.json` (per `hooks/README.md`); for this repo, ship a project-scoped `.claude/settings.json` so it is on by default.</w:t>
            </w:r>
          </w:p>
        </w:tc>
        <w:tc>
          <w:tcPr>
            <w:tcW w:type="dxa" w:w="1411"/>
          </w:tcPr>
          <w:p>
            <w:r/>
            <w:r>
              <w:rPr>
                <w:sz w:val="18"/>
              </w:rPr>
              <w:t>`~/.claude/settings.json` or `&lt;repo&gt;/.claude/settings.json`</w:t>
            </w:r>
          </w:p>
        </w:tc>
        <w:tc>
          <w:tcPr>
            <w:tcW w:type="dxa" w:w="1411"/>
          </w:tcPr>
          <w:p>
            <w:r/>
            <w:r>
              <w:rPr>
                <w:sz w:val="18"/>
              </w:rPr>
              <w:t>IQ-009 PASS — a PreToolUse entry references `protect-approved-documents.py`.</w:t>
            </w:r>
          </w:p>
        </w:tc>
        <w:tc>
          <w:tcPr>
            <w:tcW w:type="dxa" w:w="1411"/>
          </w:tcPr>
          <w:p>
            <w:r/>
            <w:r>
              <w:rPr>
                <w:sz w:val="18"/>
              </w:rPr>
              <w:t>Toolkit maintainer</w:t>
            </w:r>
          </w:p>
        </w:tc>
        <w:tc>
          <w:tcPr>
            <w:tcW w:type="dxa" w:w="1411"/>
          </w:tcPr>
          <w:p>
            <w:r/>
            <w:r>
              <w:rPr>
                <w:b/>
                <w:sz w:val="18"/>
              </w:rPr>
              <w:t>Closed for plugin installs (2026-06-17)</w:t>
            </w:r>
            <w:r>
              <w:rPr>
                <w:sz w:val="18"/>
              </w:rPr>
              <w:t xml:space="preserve"> — `hooks/hooks.json` (`${CLAUDE_PLUGIN_ROOT}`) is auto-discovered on install. In-repo dev registration via a project `.claude/settings.json` is an </w:t>
            </w:r>
            <w:r>
              <w:rPr>
                <w:b/>
                <w:sz w:val="18"/>
              </w:rPr>
              <w:t>opt-in</w:t>
            </w:r>
            <w:r>
              <w:rPr>
                <w:sz w:val="18"/>
              </w:rPr>
              <w:t xml:space="preserve"> step (auto-creating it was declined by the safety gate as it changes session behaviour); see `hooks/README.md`.</w:t>
            </w:r>
          </w:p>
        </w:tc>
      </w:tr>
      <w:tr>
        <w:tc>
          <w:tcPr>
            <w:tcW w:type="dxa" w:w="1411"/>
          </w:tcPr>
          <w:p>
            <w:r/>
            <w:r>
              <w:rPr>
                <w:b/>
                <w:sz w:val="18"/>
              </w:rPr>
              <w:t>GIQ-001</w:t>
            </w:r>
          </w:p>
        </w:tc>
        <w:tc>
          <w:tcPr>
            <w:tcW w:type="dxa" w:w="1411"/>
          </w:tcPr>
          <w:p>
            <w:r/>
            <w:r>
              <w:rPr>
                <w:sz w:val="18"/>
              </w:rPr>
              <w:t>IQ-003, IQ-005; also OQ-003 (GOQ-003), PQ-062 (GPQ-005)</w:t>
            </w:r>
          </w:p>
        </w:tc>
        <w:tc>
          <w:tcPr>
            <w:tcW w:type="dxa" w:w="1411"/>
          </w:tcPr>
          <w:p>
            <w:r/>
            <w:r>
              <w:rPr>
                <w:b/>
                <w:sz w:val="18"/>
              </w:rPr>
              <w:t>The exact versions of the toolkit's helper libraries are not recorded.</w:t>
            </w:r>
            <w:r>
              <w:rPr>
                <w:sz w:val="18"/>
              </w:rPr>
              <w:t xml:space="preserve"> The Python tools depend on three third-party libraries, but nothing in the repo pins which versions are required. A later install can therefore pull different library versions than the ones that were validated, so a rebuild may behave differently from the qualified system without anyone noticing.</w:t>
            </w:r>
          </w:p>
        </w:tc>
        <w:tc>
          <w:tcPr>
            <w:tcW w:type="dxa" w:w="1411"/>
          </w:tcPr>
          <w:p>
            <w:r/>
            <w:r>
              <w:rPr>
                <w:sz w:val="18"/>
              </w:rPr>
              <w:t>High</w:t>
            </w:r>
          </w:p>
        </w:tc>
        <w:tc>
          <w:tcPr>
            <w:tcW w:type="dxa" w:w="1411"/>
          </w:tcPr>
          <w:p>
            <w:r/>
            <w:r>
              <w:rPr>
                <w:sz w:val="18"/>
              </w:rPr>
              <w:t>21 CFR Part 11 §11.10(k); GAMP 5 configuration management; EU Annex 11 cl.4</w:t>
            </w:r>
          </w:p>
        </w:tc>
        <w:tc>
          <w:tcPr>
            <w:tcW w:type="dxa" w:w="1411"/>
          </w:tcPr>
          <w:p>
            <w:r/>
            <w:r>
              <w:rPr>
                <w:sz w:val="18"/>
              </w:rPr>
              <w:t>Add a `requirements.txt` (or `pyproject.toml`) at the repo root pinning `python-docx`, `openpyxl`, and `mcp` to exact (`==`) versions; freeze the validated versions.</w:t>
            </w:r>
          </w:p>
        </w:tc>
        <w:tc>
          <w:tcPr>
            <w:tcW w:type="dxa" w:w="1411"/>
          </w:tcPr>
          <w:p>
            <w:r/>
            <w:r>
              <w:rPr>
                <w:sz w:val="18"/>
              </w:rPr>
              <w:t>`&lt;repo&gt;/requirements.txt` (new)</w:t>
            </w:r>
          </w:p>
        </w:tc>
        <w:tc>
          <w:tcPr>
            <w:tcW w:type="dxa" w:w="1411"/>
          </w:tcPr>
          <w:p>
            <w:r/>
            <w:r>
              <w:rPr>
                <w:sz w:val="18"/>
              </w:rPr>
              <w:t>IQ-003 PASS and IQ-005 PASS on a clean environment.</w:t>
            </w:r>
          </w:p>
        </w:tc>
        <w:tc>
          <w:tcPr>
            <w:tcW w:type="dxa" w:w="1411"/>
          </w:tcPr>
          <w:p>
            <w:r/>
            <w:r>
              <w:rPr>
                <w:sz w:val="18"/>
              </w:rPr>
              <w:t>Toolkit maintainer</w:t>
            </w:r>
          </w:p>
        </w:tc>
        <w:tc>
          <w:tcPr>
            <w:tcW w:type="dxa" w:w="1411"/>
          </w:tcPr>
          <w:p>
            <w:r/>
            <w:r>
              <w:rPr>
                <w:b/>
                <w:sz w:val="18"/>
              </w:rPr>
              <w:t>Closed (2026-06-17)</w:t>
            </w:r>
            <w:r>
              <w:rPr>
                <w:sz w:val="18"/>
              </w:rPr>
              <w:t xml:space="preserve"> — `requirements.txt` pins all three (`python-docx==1.2.0`, `openpyxl==3.1.5`, `mcp==1.28.0`); IQ-003 PASS.</w:t>
            </w:r>
          </w:p>
        </w:tc>
      </w:tr>
      <w:tr>
        <w:tc>
          <w:tcPr>
            <w:tcW w:type="dxa" w:w="1411"/>
          </w:tcPr>
          <w:p>
            <w:r/>
            <w:r>
              <w:rPr>
                <w:b/>
                <w:sz w:val="18"/>
              </w:rPr>
              <w:t>GIQ-002</w:t>
            </w:r>
          </w:p>
        </w:tc>
        <w:tc>
          <w:tcPr>
            <w:tcW w:type="dxa" w:w="1411"/>
          </w:tcPr>
          <w:p>
            <w:r/>
            <w:r>
              <w:rPr>
                <w:sz w:val="18"/>
              </w:rPr>
              <w:t>IQ-005, IQ-006; also OQ (GOQ-005), PQ-006 (GPQ-002)</w:t>
            </w:r>
          </w:p>
        </w:tc>
        <w:tc>
          <w:tcPr>
            <w:tcW w:type="dxa" w:w="1411"/>
          </w:tcPr>
          <w:p>
            <w:r/>
            <w:r>
              <w:rPr>
                <w:b/>
                <w:sz w:val="18"/>
              </w:rPr>
              <w:t>Two required libraries are not installed, so part of the toolkit cannot run.</w:t>
            </w:r>
            <w:r>
              <w:rPr>
                <w:sz w:val="18"/>
              </w:rPr>
              <w:t xml:space="preserve"> The library that powers the FDA-data tools (`mcp`) and the one that builds the Excel deliverable (`openpyxl`) are missing from the environment. Until they are installed, the openFDA tools cannot be called and the Excel workbook cannot be generated.</w:t>
            </w:r>
          </w:p>
        </w:tc>
        <w:tc>
          <w:tcPr>
            <w:tcW w:type="dxa" w:w="1411"/>
          </w:tcPr>
          <w:p>
            <w:r/>
            <w:r>
              <w:rPr>
                <w:sz w:val="18"/>
              </w:rPr>
              <w:t>High</w:t>
            </w:r>
          </w:p>
        </w:tc>
        <w:tc>
          <w:tcPr>
            <w:tcW w:type="dxa" w:w="1411"/>
          </w:tcPr>
          <w:p>
            <w:r/>
            <w:r>
              <w:rPr>
                <w:sz w:val="18"/>
              </w:rPr>
              <w:t>EU Annex 11 cl.4 (system operable in its qualified state); GAMP 5 infrastructure qualification</w:t>
            </w:r>
          </w:p>
        </w:tc>
        <w:tc>
          <w:tcPr>
            <w:tcW w:type="dxa" w:w="1411"/>
          </w:tcPr>
          <w:p>
            <w:r/>
            <w:r>
              <w:rPr>
                <w:sz w:val="18"/>
              </w:rPr>
              <w:t>After GIQ-001, run `pip install -r requirements.txt`.</w:t>
            </w:r>
          </w:p>
        </w:tc>
        <w:tc>
          <w:tcPr>
            <w:tcW w:type="dxa" w:w="1411"/>
          </w:tcPr>
          <w:p>
            <w:r/>
            <w:r>
              <w:rPr>
                <w:sz w:val="18"/>
              </w:rPr>
              <w:t>Host Python environment</w:t>
            </w:r>
          </w:p>
        </w:tc>
        <w:tc>
          <w:tcPr>
            <w:tcW w:type="dxa" w:w="1411"/>
          </w:tcPr>
          <w:p>
            <w:r/>
            <w:r>
              <w:rPr>
                <w:sz w:val="18"/>
              </w:rPr>
              <w:t>IQ-005 PASS for all three packages.</w:t>
            </w:r>
          </w:p>
        </w:tc>
        <w:tc>
          <w:tcPr>
            <w:tcW w:type="dxa" w:w="1411"/>
          </w:tcPr>
          <w:p>
            <w:r/>
            <w:r>
              <w:rPr>
                <w:sz w:val="18"/>
              </w:rPr>
              <w:t>Toolkit maintainer</w:t>
            </w:r>
          </w:p>
        </w:tc>
        <w:tc>
          <w:tcPr>
            <w:tcW w:type="dxa" w:w="1411"/>
          </w:tcPr>
          <w:p>
            <w:r/>
            <w:r>
              <w:rPr>
                <w:b/>
                <w:sz w:val="18"/>
              </w:rPr>
              <w:t>Closed (2026-06-17)</w:t>
            </w:r>
            <w:r>
              <w:rPr>
                <w:sz w:val="18"/>
              </w:rPr>
              <w:t xml:space="preserve"> — Python 3.12.13 installed (Homebrew); project venv `.venv` created with all three packages (`mcp==1.28.0`). The openFDA server loads and passes its pre-flight under `.venv`. The pre-flight checks still guard against a missing dependency / old Python.</w:t>
            </w:r>
          </w:p>
        </w:tc>
      </w:tr>
      <w:tr>
        <w:tc>
          <w:tcPr>
            <w:tcW w:type="dxa" w:w="1411"/>
          </w:tcPr>
          <w:p>
            <w:r/>
            <w:r>
              <w:rPr>
                <w:b/>
                <w:sz w:val="18"/>
              </w:rPr>
              <w:t>GIQ-004</w:t>
            </w:r>
          </w:p>
        </w:tc>
        <w:tc>
          <w:tcPr>
            <w:tcW w:type="dxa" w:w="1411"/>
          </w:tcPr>
          <w:p>
            <w:r/>
            <w:r>
              <w:rPr>
                <w:sz w:val="18"/>
              </w:rPr>
              <w:t>IQ-007</w:t>
            </w:r>
          </w:p>
        </w:tc>
        <w:tc>
          <w:tcPr>
            <w:tcW w:type="dxa" w:w="1411"/>
          </w:tcPr>
          <w:p>
            <w:r/>
            <w:r>
              <w:rPr>
                <w:b/>
                <w:sz w:val="18"/>
              </w:rPr>
              <w:t>The FDA-data server is not connected to Claude Code.</w:t>
            </w:r>
            <w:r>
              <w:rPr>
                <w:sz w:val="18"/>
              </w:rPr>
              <w:t xml:space="preserve"> The openFDA tool server is present in the repo but has not been registered with Claude Code, so Claude cannot call any of its tools (recalls, drug labels, adverse events). The server-side feature is installed but not wired up.</w:t>
            </w:r>
          </w:p>
        </w:tc>
        <w:tc>
          <w:tcPr>
            <w:tcW w:type="dxa" w:w="1411"/>
          </w:tcPr>
          <w:p>
            <w:r/>
            <w:r>
              <w:rPr>
                <w:sz w:val="18"/>
              </w:rPr>
              <w:t>High</w:t>
            </w:r>
          </w:p>
        </w:tc>
        <w:tc>
          <w:tcPr>
            <w:tcW w:type="dxa" w:w="1411"/>
          </w:tcPr>
          <w:p>
            <w:r/>
            <w:r>
              <w:rPr>
                <w:sz w:val="18"/>
              </w:rPr>
              <w:t>EU Annex 11 cl.4; GAMP 5 infrastructure</w:t>
            </w:r>
          </w:p>
        </w:tc>
        <w:tc>
          <w:tcPr>
            <w:tcW w:type="dxa" w:w="1411"/>
          </w:tcPr>
          <w:p>
            <w:r/>
            <w:r>
              <w:rPr>
                <w:sz w:val="18"/>
              </w:rPr>
              <w:t>Register the server (`claude mcp add openfda …`) and/or ship a repo `.mcp.json` for project-scoped auto-discovery.</w:t>
            </w:r>
          </w:p>
        </w:tc>
        <w:tc>
          <w:tcPr>
            <w:tcW w:type="dxa" w:w="1411"/>
          </w:tcPr>
          <w:p>
            <w:r/>
            <w:r>
              <w:rPr>
                <w:sz w:val="18"/>
              </w:rPr>
              <w:t>Claude Code config; `&lt;repo&gt;/.mcp.json` (new)</w:t>
            </w:r>
          </w:p>
        </w:tc>
        <w:tc>
          <w:tcPr>
            <w:tcW w:type="dxa" w:w="1411"/>
          </w:tcPr>
          <w:p>
            <w:r/>
            <w:r>
              <w:rPr>
                <w:sz w:val="18"/>
              </w:rPr>
              <w:t>IQ-007 PASS — `openfda` appears in `claude mcp list`.</w:t>
            </w:r>
          </w:p>
        </w:tc>
        <w:tc>
          <w:tcPr>
            <w:tcW w:type="dxa" w:w="1411"/>
          </w:tcPr>
          <w:p>
            <w:r/>
            <w:r>
              <w:rPr>
                <w:sz w:val="18"/>
              </w:rPr>
              <w:t>Toolkit maintainer</w:t>
            </w:r>
          </w:p>
        </w:tc>
        <w:tc>
          <w:tcPr>
            <w:tcW w:type="dxa" w:w="1411"/>
          </w:tcPr>
          <w:p>
            <w:r/>
            <w:r>
              <w:rPr>
                <w:b/>
                <w:sz w:val="18"/>
              </w:rPr>
              <w:t>Closed (2026-06-17)</w:t>
            </w:r>
            <w:r>
              <w:rPr>
                <w:sz w:val="18"/>
              </w:rPr>
              <w:t xml:space="preserve"> — declared in `plugin.json` → `mcpServers` (`${CLAUDE_PLUGIN_ROOT}`) so plugin installs auto-register it; also registered locally with the venv interpreter and </w:t>
            </w:r>
            <w:r>
              <w:rPr>
                <w:b/>
                <w:sz w:val="18"/>
              </w:rPr>
              <w:t>verified ✔ Connected</w:t>
            </w:r>
            <w:r>
              <w:rPr>
                <w:sz w:val="18"/>
              </w:rPr>
              <w:t xml:space="preserve"> (`claude mcp list`). Pre-flight enforces Python ≥3.10 + `mcp`.</w:t>
            </w:r>
          </w:p>
        </w:tc>
      </w:tr>
      <w:tr>
        <w:tc>
          <w:tcPr>
            <w:tcW w:type="dxa" w:w="1411"/>
          </w:tcPr>
          <w:p>
            <w:r/>
            <w:r>
              <w:rPr>
                <w:b/>
                <w:sz w:val="18"/>
              </w:rPr>
              <w:t>GIQ-007</w:t>
            </w:r>
          </w:p>
        </w:tc>
        <w:tc>
          <w:tcPr>
            <w:tcW w:type="dxa" w:w="1411"/>
          </w:tcPr>
          <w:p>
            <w:r/>
            <w:r>
              <w:rPr>
                <w:sz w:val="18"/>
              </w:rPr>
              <w:t>IQ-007(logging); OQ-031, OQ-032 (GOQ-001, GOQ-002); PQ-031 (GPQ-003)</w:t>
            </w:r>
          </w:p>
        </w:tc>
        <w:tc>
          <w:tcPr>
            <w:tcW w:type="dxa" w:w="1411"/>
          </w:tcPr>
          <w:p>
            <w:r/>
            <w:r>
              <w:rPr>
                <w:b/>
                <w:sz w:val="18"/>
              </w:rPr>
              <w:t>Failures are not written to any log.</w:t>
            </w:r>
            <w:r>
              <w:rPr>
                <w:sz w:val="18"/>
              </w:rPr>
              <w:t xml:space="preserve"> When the FDA server hits a network or HTTP error it returns the error only to the caller, and when the protection hook hits a problem it silently allows the edit (fail-open) — in both cases nothing is recorded to a server-side log. A failure or a bypassed protection therefore leaves no independent audit trail, which an inspector expects for a GxP system.</w:t>
            </w:r>
          </w:p>
        </w:tc>
        <w:tc>
          <w:tcPr>
            <w:tcW w:type="dxa" w:w="1411"/>
          </w:tcPr>
          <w:p>
            <w:r/>
            <w:r>
              <w:rPr>
                <w:sz w:val="18"/>
              </w:rPr>
              <w:t>Medium</w:t>
            </w:r>
          </w:p>
        </w:tc>
        <w:tc>
          <w:tcPr>
            <w:tcW w:type="dxa" w:w="1411"/>
          </w:tcPr>
          <w:p>
            <w:r/>
            <w:r>
              <w:rPr>
                <w:sz w:val="18"/>
              </w:rPr>
              <w:t>21 CFR Part 11 §11.10(e); EU Annex 11 cl.9; house standard (observable logging)</w:t>
            </w:r>
          </w:p>
        </w:tc>
        <w:tc>
          <w:tcPr>
            <w:tcW w:type="dxa" w:w="1411"/>
          </w:tcPr>
          <w:p>
            <w:r/>
            <w:r>
              <w:rPr>
                <w:sz w:val="18"/>
              </w:rPr>
              <w:t>Add Python `logging` to `server.py` (log every `except`) and to `protect-approved-documents.py` (log every fail-open decision), writing to stderr so the process log captures them.</w:t>
            </w:r>
          </w:p>
        </w:tc>
        <w:tc>
          <w:tcPr>
            <w:tcW w:type="dxa" w:w="1411"/>
          </w:tcPr>
          <w:p>
            <w:r/>
            <w:r>
              <w:rPr>
                <w:sz w:val="18"/>
              </w:rPr>
              <w:t>`mcp-servers/openfda/server.py`; `hooks/protect-approved-documents.py`</w:t>
            </w:r>
          </w:p>
        </w:tc>
        <w:tc>
          <w:tcPr>
            <w:tcW w:type="dxa" w:w="1411"/>
          </w:tcPr>
          <w:p>
            <w:r/>
            <w:r>
              <w:rPr>
                <w:sz w:val="18"/>
              </w:rPr>
              <w:t>OQ-031, OQ-032 and PQ-031 PASS — material failures/denials produce a server-side log entry.</w:t>
            </w:r>
          </w:p>
        </w:tc>
        <w:tc>
          <w:tcPr>
            <w:tcW w:type="dxa" w:w="1411"/>
          </w:tcPr>
          <w:p>
            <w:r/>
            <w:r>
              <w:rPr>
                <w:sz w:val="18"/>
              </w:rPr>
              <w:t>Toolkit maintainer</w:t>
            </w:r>
          </w:p>
        </w:tc>
        <w:tc>
          <w:tcPr>
            <w:tcW w:type="dxa" w:w="1411"/>
          </w:tcPr>
          <w:p>
            <w:r/>
            <w:r>
              <w:rPr>
                <w:b/>
                <w:sz w:val="18"/>
              </w:rPr>
              <w:t>Closed (2026-06-17)</w:t>
            </w:r>
            <w:r>
              <w:rPr>
                <w:sz w:val="18"/>
              </w:rPr>
              <w:t xml:space="preserve"> — `logging`→stderr added to `server.py` (every `except`) and `protect-approved-documents.py` (every fail-open + each block). OQ-031, OQ-032, PQ-031 re-run PASS.</w:t>
            </w:r>
          </w:p>
        </w:tc>
      </w:tr>
      <w:tr>
        <w:tc>
          <w:tcPr>
            <w:tcW w:type="dxa" w:w="1411"/>
          </w:tcPr>
          <w:p>
            <w:r/>
            <w:r>
              <w:rPr>
                <w:b/>
                <w:sz w:val="18"/>
              </w:rPr>
              <w:t>GIQ-003</w:t>
            </w:r>
          </w:p>
        </w:tc>
        <w:tc>
          <w:tcPr>
            <w:tcW w:type="dxa" w:w="1411"/>
          </w:tcPr>
          <w:p>
            <w:r/>
            <w:r>
              <w:rPr>
                <w:sz w:val="18"/>
              </w:rPr>
              <w:t>IQ-004</w:t>
            </w:r>
          </w:p>
        </w:tc>
        <w:tc>
          <w:tcPr>
            <w:tcW w:type="dxa" w:w="1411"/>
          </w:tcPr>
          <w:p>
            <w:r/>
            <w:r>
              <w:rPr>
                <w:b/>
                <w:sz w:val="18"/>
              </w:rPr>
              <w:t>No minimum Python version is stated.</w:t>
            </w:r>
            <w:r>
              <w:rPr>
                <w:sz w:val="18"/>
              </w:rPr>
              <w:t xml:space="preserve"> The tools run on "whatever python3 is on the machine." Some dependencies need a newer Python than others; without a stated minimum there is no way to confirm a given machine is suitable, and the tools could misbehave on an unsupported version.</w:t>
            </w:r>
          </w:p>
        </w:tc>
        <w:tc>
          <w:tcPr>
            <w:tcW w:type="dxa" w:w="1411"/>
          </w:tcPr>
          <w:p>
            <w:r/>
            <w:r>
              <w:rPr>
                <w:sz w:val="18"/>
              </w:rPr>
              <w:t>Medium</w:t>
            </w:r>
          </w:p>
        </w:tc>
        <w:tc>
          <w:tcPr>
            <w:tcW w:type="dxa" w:w="1411"/>
          </w:tcPr>
          <w:p>
            <w:r/>
            <w:r>
              <w:rPr>
                <w:sz w:val="18"/>
              </w:rPr>
              <w:t>EU Annex 11 cl.4 (operating environment); GAMP 5 infrastructure</w:t>
            </w:r>
          </w:p>
        </w:tc>
        <w:tc>
          <w:tcPr>
            <w:tcW w:type="dxa" w:w="1411"/>
          </w:tcPr>
          <w:p>
            <w:r/>
            <w:r>
              <w:rPr>
                <w:sz w:val="18"/>
              </w:rPr>
              <w:t>Determine the minimum (the `mcp` library likely needs ≥3.10) and declare it in `pyproject.toml`/`README`.</w:t>
            </w:r>
          </w:p>
        </w:tc>
        <w:tc>
          <w:tcPr>
            <w:tcW w:type="dxa" w:w="1411"/>
          </w:tcPr>
          <w:p>
            <w:r/>
            <w:r>
              <w:rPr>
                <w:sz w:val="18"/>
              </w:rPr>
              <w:t>`&lt;repo&gt;/requirements.txt`; `mcp-servers/openfda/server.py`</w:t>
            </w:r>
          </w:p>
        </w:tc>
        <w:tc>
          <w:tcPr>
            <w:tcW w:type="dxa" w:w="1411"/>
          </w:tcPr>
          <w:p>
            <w:r/>
            <w:r>
              <w:rPr>
                <w:sz w:val="18"/>
              </w:rPr>
              <w:t>IQ-004 reads a declared minimum and PASS/FAILs against it.</w:t>
            </w:r>
          </w:p>
        </w:tc>
        <w:tc>
          <w:tcPr>
            <w:tcW w:type="dxa" w:w="1411"/>
          </w:tcPr>
          <w:p>
            <w:r/>
            <w:r>
              <w:rPr>
                <w:sz w:val="18"/>
              </w:rPr>
              <w:t>Toolkit maintainer</w:t>
            </w:r>
          </w:p>
        </w:tc>
        <w:tc>
          <w:tcPr>
            <w:tcW w:type="dxa" w:w="1411"/>
          </w:tcPr>
          <w:p>
            <w:r/>
            <w:r>
              <w:rPr>
                <w:b/>
                <w:sz w:val="18"/>
              </w:rPr>
              <w:t>Closed (2026-06-17)</w:t>
            </w:r>
            <w:r>
              <w:rPr>
                <w:sz w:val="18"/>
              </w:rPr>
              <w:t xml:space="preserve"> — Python 3.12.13 installed via Homebrew and used by the project venv; meets the declared ≥3.10 minimum (enforced by the `server.py` pre-flight). Note the default system `python3` is still 3.9.6, so the server must be launched with the venv interpreter (`.venv/bin/python`).</w:t>
            </w:r>
          </w:p>
        </w:tc>
      </w:tr>
      <w:tr>
        <w:tc>
          <w:tcPr>
            <w:tcW w:type="dxa" w:w="1411"/>
          </w:tcPr>
          <w:p>
            <w:r/>
            <w:r>
              <w:rPr>
                <w:b/>
                <w:sz w:val="18"/>
              </w:rPr>
              <w:t>GIQ-006</w:t>
            </w:r>
          </w:p>
        </w:tc>
        <w:tc>
          <w:tcPr>
            <w:tcW w:type="dxa" w:w="1411"/>
          </w:tcPr>
          <w:p>
            <w:r/>
            <w:r>
              <w:rPr>
                <w:sz w:val="18"/>
              </w:rPr>
              <w:t>IQ-AI-013</w:t>
            </w:r>
          </w:p>
        </w:tc>
        <w:tc>
          <w:tcPr>
            <w:tcW w:type="dxa" w:w="1411"/>
          </w:tcPr>
          <w:p>
            <w:r/>
            <w:r>
              <w:rPr>
                <w:b/>
                <w:sz w:val="18"/>
              </w:rPr>
              <w:t>You cannot ask the running toolkit which version it is.</w:t>
            </w:r>
            <w:r>
              <w:rPr>
                <w:sz w:val="18"/>
              </w:rPr>
              <w:t xml:space="preserve"> The version (`1.2.0`) lives only in a static file; no running component reports it. In a regulated setting you must be able to confirm at any time that the version in use is the qualified one.</w:t>
            </w:r>
          </w:p>
        </w:tc>
        <w:tc>
          <w:tcPr>
            <w:tcW w:type="dxa" w:w="1411"/>
          </w:tcPr>
          <w:p>
            <w:r/>
            <w:r>
              <w:rPr>
                <w:sz w:val="18"/>
              </w:rPr>
              <w:t>Medium</w:t>
            </w:r>
          </w:p>
        </w:tc>
        <w:tc>
          <w:tcPr>
            <w:tcW w:type="dxa" w:w="1411"/>
          </w:tcPr>
          <w:p>
            <w:r/>
            <w:r>
              <w:rPr>
                <w:sz w:val="18"/>
              </w:rPr>
              <w:t>21 CFR Part 11 §11.10(k); GAMP 5 change control; ISPE GAMP AI (version management)</w:t>
            </w:r>
          </w:p>
        </w:tc>
        <w:tc>
          <w:tcPr>
            <w:tcW w:type="dxa" w:w="1411"/>
          </w:tcPr>
          <w:p>
            <w:r/>
            <w:r>
              <w:rPr>
                <w:sz w:val="18"/>
              </w:rPr>
              <w:t>Add a version surface — e.g. a `version` tool on the MCP server reading `plugin.json`, or a `VERSION` file surfaced in the catalog.</w:t>
            </w:r>
          </w:p>
        </w:tc>
        <w:tc>
          <w:tcPr>
            <w:tcW w:type="dxa" w:w="1411"/>
          </w:tcPr>
          <w:p>
            <w:r/>
            <w:r>
              <w:rPr>
                <w:sz w:val="18"/>
              </w:rPr>
              <w:t>`mcp-servers/openfda/server.py` or `&lt;repo&gt;/VERSION`</w:t>
            </w:r>
          </w:p>
        </w:tc>
        <w:tc>
          <w:tcPr>
            <w:tcW w:type="dxa" w:w="1411"/>
          </w:tcPr>
          <w:p>
            <w:r/>
            <w:r>
              <w:rPr>
                <w:sz w:val="18"/>
              </w:rPr>
              <w:t>IQ-AI-013 PASS — a runtime query returns the manifest version.</w:t>
            </w:r>
          </w:p>
        </w:tc>
        <w:tc>
          <w:tcPr>
            <w:tcW w:type="dxa" w:w="1411"/>
          </w:tcPr>
          <w:p>
            <w:r/>
            <w:r>
              <w:rPr>
                <w:sz w:val="18"/>
              </w:rPr>
              <w:t>Toolkit maintainer</w:t>
            </w:r>
          </w:p>
        </w:tc>
        <w:tc>
          <w:tcPr>
            <w:tcW w:type="dxa" w:w="1411"/>
          </w:tcPr>
          <w:p>
            <w:r/>
            <w:r>
              <w:rPr>
                <w:b/>
                <w:sz w:val="18"/>
              </w:rPr>
              <w:t>Closed (2026-06-17)</w:t>
            </w:r>
            <w:r>
              <w:rPr>
                <w:sz w:val="18"/>
              </w:rPr>
              <w:t xml:space="preserve"> — `server_version()` MCP tool added; returns `plugin.json` version + Python runtime (verified 1.2.0 / 3.12.13).</w:t>
            </w:r>
          </w:p>
        </w:tc>
      </w:tr>
      <w:tr>
        <w:tc>
          <w:tcPr>
            <w:tcW w:type="dxa" w:w="1411"/>
          </w:tcPr>
          <w:p>
            <w:r/>
            <w:r>
              <w:rPr>
                <w:b/>
                <w:sz w:val="18"/>
              </w:rPr>
              <w:t>GOQ-006</w:t>
            </w:r>
          </w:p>
        </w:tc>
        <w:tc>
          <w:tcPr>
            <w:tcW w:type="dxa" w:w="1411"/>
          </w:tcPr>
          <w:p>
            <w:r/>
            <w:r>
              <w:rPr>
                <w:sz w:val="18"/>
              </w:rPr>
              <w:t>OQ-006 (registration note)</w:t>
            </w:r>
          </w:p>
        </w:tc>
        <w:tc>
          <w:tcPr>
            <w:tcW w:type="dxa" w:w="1411"/>
          </w:tcPr>
          <w:p>
            <w:r/>
            <w:r>
              <w:rPr>
                <w:b/>
                <w:sz w:val="18"/>
              </w:rPr>
              <w:t>The two sets of hook-setup instructions don't match.</w:t>
            </w:r>
            <w:r>
              <w:rPr>
                <w:sz w:val="18"/>
              </w:rPr>
              <w:t xml:space="preserve"> The hook's README shows a hard-coded absolute path, while the plugin's `hooks.json` uses a portable `${CLAUDE_PLUGIN_ROOT}` placeholder. A user following the README on a plugin install can register the wrong path and the protection won't fire.</w:t>
            </w:r>
          </w:p>
        </w:tc>
        <w:tc>
          <w:tcPr>
            <w:tcW w:type="dxa" w:w="1411"/>
          </w:tcPr>
          <w:p>
            <w:r/>
            <w:r>
              <w:rPr>
                <w:sz w:val="18"/>
              </w:rPr>
              <w:t>Low</w:t>
            </w:r>
          </w:p>
        </w:tc>
        <w:tc>
          <w:tcPr>
            <w:tcW w:type="dxa" w:w="1411"/>
          </w:tcPr>
          <w:p>
            <w:r/>
            <w:r>
              <w:rPr>
                <w:sz w:val="18"/>
              </w:rPr>
              <w:t>EU Annex 11 cl.4 (clear, correct configuration docs)</w:t>
            </w:r>
          </w:p>
        </w:tc>
        <w:tc>
          <w:tcPr>
            <w:tcW w:type="dxa" w:w="1411"/>
          </w:tcPr>
          <w:p>
            <w:r/>
            <w:r>
              <w:rPr>
                <w:sz w:val="18"/>
              </w:rPr>
              <w:t>Reconcile `hooks/README.md` to explain both paths: plugin installs use the `hooks.json` placeholder automatically; manual/source installs use the absolute path.</w:t>
            </w:r>
          </w:p>
        </w:tc>
        <w:tc>
          <w:tcPr>
            <w:tcW w:type="dxa" w:w="1411"/>
          </w:tcPr>
          <w:p>
            <w:r/>
            <w:r>
              <w:rPr>
                <w:sz w:val="18"/>
              </w:rPr>
              <w:t>`hooks/README.md`</w:t>
            </w:r>
          </w:p>
        </w:tc>
        <w:tc>
          <w:tcPr>
            <w:tcW w:type="dxa" w:w="1411"/>
          </w:tcPr>
          <w:p>
            <w:r/>
            <w:r>
              <w:rPr>
                <w:sz w:val="18"/>
              </w:rPr>
              <w:t>README and `hooks.json` describe one consistent, correct registration per install mode.</w:t>
            </w:r>
          </w:p>
        </w:tc>
        <w:tc>
          <w:tcPr>
            <w:tcW w:type="dxa" w:w="1411"/>
          </w:tcPr>
          <w:p>
            <w:r/>
            <w:r>
              <w:rPr>
                <w:sz w:val="18"/>
              </w:rPr>
              <w:t>Toolkit maintainer</w:t>
            </w:r>
          </w:p>
        </w:tc>
        <w:tc>
          <w:tcPr>
            <w:tcW w:type="dxa" w:w="1411"/>
          </w:tcPr>
          <w:p>
            <w:r/>
            <w:r>
              <w:rPr>
                <w:b/>
                <w:sz w:val="18"/>
              </w:rPr>
              <w:t>Closed (2026-06-17)</w:t>
            </w:r>
            <w:r>
              <w:rPr>
                <w:sz w:val="18"/>
              </w:rPr>
              <w:t xml:space="preserve"> — `hooks/README.md` documents all three install modes (plugin / in-repo / manual).</w:t>
            </w:r>
          </w:p>
        </w:tc>
      </w:tr>
      <w:tr>
        <w:tc>
          <w:tcPr>
            <w:tcW w:type="dxa" w:w="1411"/>
          </w:tcPr>
          <w:p>
            <w:r/>
            <w:r>
              <w:rPr>
                <w:b/>
                <w:sz w:val="18"/>
              </w:rPr>
              <w:t>GOQ-007</w:t>
            </w:r>
          </w:p>
        </w:tc>
        <w:tc>
          <w:tcPr>
            <w:tcW w:type="dxa" w:w="1411"/>
          </w:tcPr>
          <w:p>
            <w:r/>
            <w:r>
              <w:rPr>
                <w:sz w:val="18"/>
              </w:rPr>
              <w:t>OQ-024 (min-config baseline)</w:t>
            </w:r>
          </w:p>
        </w:tc>
        <w:tc>
          <w:tcPr>
            <w:tcW w:type="dxa" w:w="1411"/>
          </w:tcPr>
          <w:p>
            <w:r/>
            <w:r>
              <w:rPr>
                <w:b/>
                <w:sz w:val="18"/>
              </w:rPr>
              <w:t>There is no single "what you need for this to work" page.</w:t>
            </w:r>
            <w:r>
              <w:rPr>
                <w:sz w:val="18"/>
              </w:rPr>
              <w:t xml:space="preserve"> The prerequisites (Python version, libraries, MCP registration, hook registration) are scattered. A new user has no one place that states the minimum usable configuration, making a correct install harder to verify.</w:t>
            </w:r>
          </w:p>
        </w:tc>
        <w:tc>
          <w:tcPr>
            <w:tcW w:type="dxa" w:w="1411"/>
          </w:tcPr>
          <w:p>
            <w:r/>
            <w:r>
              <w:rPr>
                <w:sz w:val="18"/>
              </w:rPr>
              <w:t>Low</w:t>
            </w:r>
          </w:p>
        </w:tc>
        <w:tc>
          <w:tcPr>
            <w:tcW w:type="dxa" w:w="1411"/>
          </w:tcPr>
          <w:p>
            <w:r/>
            <w:r>
              <w:rPr>
                <w:sz w:val="18"/>
              </w:rPr>
              <w:t>EU Annex 11 cl.4; GAMP 5 (installation control)</w:t>
            </w:r>
          </w:p>
        </w:tc>
        <w:tc>
          <w:tcPr>
            <w:tcW w:type="dxa" w:w="1411"/>
          </w:tcPr>
          <w:p>
            <w:r/>
            <w:r>
              <w:rPr>
                <w:sz w:val="18"/>
              </w:rPr>
              <w:t>Add a short minimum-configuration document listing every prerequisite and the one command/step to satisfy each.</w:t>
            </w:r>
          </w:p>
        </w:tc>
        <w:tc>
          <w:tcPr>
            <w:tcW w:type="dxa" w:w="1411"/>
          </w:tcPr>
          <w:p>
            <w:r/>
            <w:r>
              <w:rPr>
                <w:sz w:val="18"/>
              </w:rPr>
              <w:t>`docs/minimum-configuration.md` (new)</w:t>
            </w:r>
          </w:p>
        </w:tc>
        <w:tc>
          <w:tcPr>
            <w:tcW w:type="dxa" w:w="1411"/>
          </w:tcPr>
          <w:p>
            <w:r/>
            <w:r>
              <w:rPr>
                <w:sz w:val="18"/>
              </w:rPr>
              <w:t>The document exists and OQ-024's baseline maps to it.</w:t>
            </w:r>
          </w:p>
        </w:tc>
        <w:tc>
          <w:tcPr>
            <w:tcW w:type="dxa" w:w="1411"/>
          </w:tcPr>
          <w:p>
            <w:r/>
            <w:r>
              <w:rPr>
                <w:sz w:val="18"/>
              </w:rPr>
              <w:t>Toolkit maintainer</w:t>
            </w:r>
          </w:p>
        </w:tc>
        <w:tc>
          <w:tcPr>
            <w:tcW w:type="dxa" w:w="1411"/>
          </w:tcPr>
          <w:p>
            <w:r/>
            <w:r>
              <w:rPr>
                <w:b/>
                <w:sz w:val="18"/>
              </w:rPr>
              <w:t>Closed (2026-06-17)</w:t>
            </w:r>
            <w:r>
              <w:rPr>
                <w:sz w:val="18"/>
              </w:rPr>
              <w:t xml:space="preserve"> — `docs/minimum-configuration.md` added.</w:t>
            </w:r>
          </w:p>
        </w:tc>
      </w:tr>
      <w:tr>
        <w:tc>
          <w:tcPr>
            <w:tcW w:type="dxa" w:w="1411"/>
          </w:tcPr>
          <w:p>
            <w:r/>
            <w:r>
              <w:rPr>
                <w:b/>
                <w:sz w:val="18"/>
              </w:rPr>
              <w:t>GPQ-004</w:t>
            </w:r>
          </w:p>
        </w:tc>
        <w:tc>
          <w:tcPr>
            <w:tcW w:type="dxa" w:w="1411"/>
          </w:tcPr>
          <w:p>
            <w:r/>
            <w:r>
              <w:rPr>
                <w:sz w:val="18"/>
              </w:rPr>
              <w:t>PQ-AI-053</w:t>
            </w:r>
          </w:p>
        </w:tc>
        <w:tc>
          <w:tcPr>
            <w:tcW w:type="dxa" w:w="1411"/>
          </w:tcPr>
          <w:p>
            <w:r/>
            <w:r>
              <w:rPr>
                <w:b/>
                <w:sz w:val="18"/>
              </w:rPr>
              <w:t>The "is the AI consistent enough?" bar has not been set.</w:t>
            </w:r>
            <w:r>
              <w:rPr>
                <w:sz w:val="18"/>
              </w:rPr>
              <w:t xml:space="preserve"> The toolkit uses AI to generate evidence, so it must show repeated runs are consistent — but the acceptance threshold for "consistent enough" is a risk-based business decision that has not been made, so the consistency test cannot yet pass or fail.</w:t>
            </w:r>
          </w:p>
        </w:tc>
        <w:tc>
          <w:tcPr>
            <w:tcW w:type="dxa" w:w="1411"/>
          </w:tcPr>
          <w:p>
            <w:r/>
            <w:r>
              <w:rPr>
                <w:sz w:val="18"/>
              </w:rPr>
              <w:t>Low</w:t>
            </w:r>
          </w:p>
        </w:tc>
        <w:tc>
          <w:tcPr>
            <w:tcW w:type="dxa" w:w="1411"/>
          </w:tcPr>
          <w:p>
            <w:r/>
            <w:r>
              <w:rPr>
                <w:sz w:val="18"/>
              </w:rPr>
              <w:t>ISPE GAMP AI (consistency); EU draft Annex 22</w:t>
            </w:r>
          </w:p>
        </w:tc>
        <w:tc>
          <w:tcPr>
            <w:tcW w:type="dxa" w:w="1411"/>
          </w:tcPr>
          <w:p>
            <w:r/>
            <w:r>
              <w:rPr>
                <w:sz w:val="18"/>
              </w:rPr>
              <w:t>The system owner defines and approves the consistency threshold for the engine's Context of Use; then PQ-AI-053 can be executed.</w:t>
            </w:r>
          </w:p>
        </w:tc>
        <w:tc>
          <w:tcPr>
            <w:tcW w:type="dxa" w:w="1411"/>
          </w:tcPr>
          <w:p>
            <w:r/>
            <w:r>
              <w:rPr>
                <w:sz w:val="18"/>
              </w:rPr>
              <w:t>`Qualification/requirements/URS.md` (URS-AI-053)</w:t>
            </w:r>
          </w:p>
        </w:tc>
        <w:tc>
          <w:tcPr>
            <w:tcW w:type="dxa" w:w="1411"/>
          </w:tcPr>
          <w:p>
            <w:r/>
            <w:r>
              <w:rPr>
                <w:sz w:val="18"/>
              </w:rPr>
              <w:t>Threshold approved; PQ-AI-053 executed against it.</w:t>
            </w:r>
          </w:p>
        </w:tc>
        <w:tc>
          <w:tcPr>
            <w:tcW w:type="dxa" w:w="1411"/>
          </w:tcPr>
          <w:p>
            <w:r/>
            <w:r>
              <w:rPr>
                <w:sz w:val="18"/>
              </w:rPr>
              <w:t>System owner</w:t>
            </w:r>
          </w:p>
        </w:tc>
        <w:tc>
          <w:tcPr>
            <w:tcW w:type="dxa" w:w="1411"/>
          </w:tcPr>
          <w:p>
            <w:r/>
            <w:r>
              <w:rPr>
                <w:sz w:val="18"/>
              </w:rPr>
              <w:t>Open</w:t>
            </w:r>
          </w:p>
        </w:tc>
      </w:tr>
      <w:tr>
        <w:tc>
          <w:tcPr>
            <w:tcW w:type="dxa" w:w="1411"/>
          </w:tcPr>
          <w:p>
            <w:r/>
            <w:r>
              <w:rPr>
                <w:b/>
                <w:sz w:val="18"/>
              </w:rPr>
              <w:t>GPQ-006</w:t>
            </w:r>
          </w:p>
        </w:tc>
        <w:tc>
          <w:tcPr>
            <w:tcW w:type="dxa" w:w="1411"/>
          </w:tcPr>
          <w:p>
            <w:r/>
            <w:r>
              <w:rPr>
                <w:sz w:val="18"/>
              </w:rPr>
              <w:t>PQ-002, PQ-004, PQ-005, PQ-006, PQ-013</w:t>
            </w:r>
          </w:p>
        </w:tc>
        <w:tc>
          <w:tcPr>
            <w:tcW w:type="dxa" w:w="1411"/>
          </w:tcPr>
          <w:p>
            <w:r/>
            <w:r>
              <w:rPr>
                <w:b/>
                <w:sz w:val="18"/>
              </w:rPr>
              <w:t>Some "does it really work end to end" checks still need a live run.</w:t>
            </w:r>
            <w:r>
              <w:rPr>
                <w:sz w:val="18"/>
              </w:rPr>
              <w:t xml:space="preserve"> Several intended-use behaviours (skills auto-invoking, live eCFR/openFDA fetches, the document builders) can only be fully proven in a live Claude Code session with the dependencies installed and internet access. They are recorded honestly as not-yet-executed — not as passes.</w:t>
            </w:r>
          </w:p>
        </w:tc>
        <w:tc>
          <w:tcPr>
            <w:tcW w:type="dxa" w:w="1411"/>
          </w:tcPr>
          <w:p>
            <w:r/>
            <w:r>
              <w:rPr>
                <w:sz w:val="18"/>
              </w:rPr>
              <w:t>Low (informational)</w:t>
            </w:r>
          </w:p>
        </w:tc>
        <w:tc>
          <w:tcPr>
            <w:tcW w:type="dxa" w:w="1411"/>
          </w:tcPr>
          <w:p>
            <w:r/>
            <w:r>
              <w:rPr>
                <w:sz w:val="18"/>
              </w:rPr>
              <w:t>GAMP 5 (PQ evidence); EU Annex 11 cl.4</w:t>
            </w:r>
          </w:p>
        </w:tc>
        <w:tc>
          <w:tcPr>
            <w:tcW w:type="dxa" w:w="1411"/>
          </w:tcPr>
          <w:p>
            <w:r/>
            <w:r>
              <w:rPr>
                <w:sz w:val="18"/>
              </w:rPr>
              <w:t>After GIQ-001/002/004 are closed, execute these test-cases in a witnessed live session and record the results.</w:t>
            </w:r>
          </w:p>
        </w:tc>
        <w:tc>
          <w:tcPr>
            <w:tcW w:type="dxa" w:w="1411"/>
          </w:tcPr>
          <w:p>
            <w:r/>
            <w:r>
              <w:rPr>
                <w:sz w:val="18"/>
              </w:rPr>
              <w:t>`Qualification/scripts/` (the named PQ artifacts)</w:t>
            </w:r>
          </w:p>
        </w:tc>
        <w:tc>
          <w:tcPr>
            <w:tcW w:type="dxa" w:w="1411"/>
          </w:tcPr>
          <w:p>
            <w:r/>
            <w:r>
              <w:rPr>
                <w:sz w:val="18"/>
              </w:rPr>
              <w:t>Each listed PQ case executed live with a recorded PASS.</w:t>
            </w:r>
          </w:p>
        </w:tc>
        <w:tc>
          <w:tcPr>
            <w:tcW w:type="dxa" w:w="1411"/>
          </w:tcPr>
          <w:p>
            <w:r/>
            <w:r>
              <w:rPr>
                <w:sz w:val="18"/>
              </w:rPr>
              <w:t>Validation lead</w:t>
            </w:r>
          </w:p>
        </w:tc>
        <w:tc>
          <w:tcPr>
            <w:tcW w:type="dxa" w:w="1411"/>
          </w:tcPr>
          <w:p>
            <w:r/>
            <w:r>
              <w:rPr>
                <w:b/>
                <w:sz w:val="18"/>
              </w:rPr>
              <w:t>In progress (2026-06-17)</w:t>
            </w:r>
            <w:r>
              <w:rPr>
                <w:sz w:val="18"/>
              </w:rPr>
              <w:t xml:space="preserve"> — dependencies now installed (`.venv`, 3.12) and the openFDA server is connected, so these are now executable; offline-safe ones (e.g. builders) pass. Remaining live-internet runs (openFDA/eCFR) pending a witnessed session.</w:t>
            </w:r>
          </w:p>
        </w:tc>
      </w:tr>
    </w:tbl>
    <w:p>
      <w:pPr>
        <w:keepNext/>
        <w:spacing w:before="200" w:after="80"/>
      </w:pPr>
      <w:r>
        <w:rPr>
          <w:b/>
          <w:color w:val="276BB2"/>
          <w:sz w:val="28"/>
        </w:rPr>
        <w:t>Notes</w:t>
      </w:r>
    </w:p>
    <w:p>
      <w:pPr>
        <w:pStyle w:val="ListBullet"/>
      </w:pPr>
      <w:r>
        <w:rPr>
          <w:b/>
          <w:sz w:val="20"/>
        </w:rPr>
        <w:t>Install-dependent gaps — remediation 2026-06-17:</w:t>
      </w:r>
      <w:r>
        <w:rPr>
          <w:sz w:val="20"/>
        </w:rPr>
        <w:t xml:space="preserve"> a pinned `requirements.txt` was added</w:t>
      </w:r>
    </w:p>
    <w:p>
      <w:r>
        <w:rPr>
          <w:sz w:val="20"/>
        </w:rPr>
        <w:t xml:space="preserve">  (closing the manifest part of GIQ-001); `python-docx` and `openpyxl` were installed so the</w:t>
      </w:r>
    </w:p>
    <w:p>
      <w:r>
        <w:rPr>
          <w:sz w:val="20"/>
        </w:rPr>
        <w:t xml:space="preserve">  Word/Excel path is fully operable; and </w:t>
      </w:r>
      <w:r>
        <w:rPr>
          <w:b/>
          <w:sz w:val="20"/>
        </w:rPr>
        <w:t>pre-flight checks</w:t>
      </w:r>
      <w:r>
        <w:rPr>
          <w:sz w:val="20"/>
        </w:rPr>
        <w:t xml:space="preserve"> were added to `build_docx.py`,</w:t>
      </w:r>
    </w:p>
    <w:p>
      <w:r>
        <w:rPr>
          <w:sz w:val="20"/>
        </w:rPr>
        <w:t xml:space="preserve">  `build_xlsx.py` and `server.py` so nothing runs against a missing dependency (or, for the</w:t>
      </w:r>
    </w:p>
    <w:p>
      <w:r>
        <w:rPr>
          <w:sz w:val="20"/>
        </w:rPr>
        <w:t xml:space="preserve">  server, an unsupported Python) — each fails loud with the exact install command. The one</w:t>
      </w:r>
    </w:p>
    <w:p>
      <w:r>
        <w:rPr>
          <w:sz w:val="20"/>
        </w:rPr>
        <w:t xml:space="preserve">  item that </w:t>
      </w:r>
      <w:r>
        <w:rPr>
          <w:b/>
          <w:sz w:val="20"/>
        </w:rPr>
        <w:t>cannot</w:t>
      </w:r>
      <w:r>
        <w:rPr>
          <w:sz w:val="20"/>
        </w:rPr>
        <w:t xml:space="preserve"> be closed on this box is `mcp`: it requires Python ≥3.10 and the box</w:t>
      </w:r>
    </w:p>
    <w:p>
      <w:r>
        <w:rPr>
          <w:sz w:val="20"/>
        </w:rPr>
        <w:t xml:space="preserve">  runs 3.9.6, so the openFDA server needs a Python upgrade before it can run. The pre-flight</w:t>
      </w:r>
    </w:p>
    <w:p>
      <w:r>
        <w:rPr>
          <w:sz w:val="20"/>
        </w:rPr>
        <w:t xml:space="preserve">  check makes that condition explicit at run time rather than letting it fail obscurely.</w:t>
      </w:r>
    </w:p>
    <w:p>
      <w:pPr>
        <w:pStyle w:val="ListBullet"/>
      </w:pPr>
      <w:r>
        <w:rPr>
          <w:b/>
          <w:sz w:val="20"/>
        </w:rPr>
        <w:t>Document control (decision 2026-06-17):</w:t>
      </w:r>
      <w:r>
        <w:rPr>
          <w:sz w:val="20"/>
        </w:rPr>
        <w:t xml:space="preserve"> these qualification documents are controlled by</w:t>
      </w:r>
    </w:p>
    <w:p>
      <w:r>
        <w:rPr>
          <w:sz w:val="20"/>
        </w:rPr>
        <w:t xml:space="preserve">  </w:t>
      </w:r>
      <w:r>
        <w:rPr>
          <w:b/>
          <w:sz w:val="20"/>
        </w:rPr>
        <w:t>approval sign-off plus the per-document version-history section</w:t>
      </w:r>
      <w:r>
        <w:rPr>
          <w:sz w:val="20"/>
        </w:rPr>
        <w:t xml:space="preserve"> (added at the end of</w:t>
      </w:r>
    </w:p>
    <w:p>
      <w:r>
        <w:rPr>
          <w:sz w:val="20"/>
        </w:rPr>
        <w:t xml:space="preserve">  each document); a separate running audit log is </w:t>
      </w:r>
      <w:r>
        <w:rPr>
          <w:b/>
          <w:sz w:val="20"/>
        </w:rPr>
        <w:t>not</w:t>
      </w:r>
      <w:r>
        <w:rPr>
          <w:sz w:val="20"/>
        </w:rPr>
        <w:t xml:space="preserve"> maintained for the documents</w:t>
      </w:r>
    </w:p>
    <w:p>
      <w:r>
        <w:rPr>
          <w:sz w:val="20"/>
        </w:rPr>
        <w:t xml:space="preserve">  themselves. *(This concerns the documents only — the software-side audit-trail/logging gap</w:t>
      </w:r>
    </w:p>
    <w:p>
      <w:r>
        <w:rPr>
          <w:sz w:val="20"/>
        </w:rPr>
        <w:t xml:space="preserve">  GIQ-007 for the MCP server and hook is unrelated and remains open.)*</w:t>
      </w:r>
    </w:p>
    <w:p>
      <w:pPr>
        <w:pStyle w:val="ListBullet"/>
      </w:pPr>
      <w:r>
        <w:rPr>
          <w:b/>
          <w:sz w:val="20"/>
        </w:rPr>
        <w:t>Automated test suite (decision 2026-06-17):</w:t>
      </w:r>
      <w:r>
        <w:rPr>
          <w:sz w:val="20"/>
        </w:rPr>
        <w:t xml:space="preserve"> GOQ-004 (no automated unit-test suite) is </w:t>
      </w:r>
      <w:r>
        <w:rPr>
          <w:b/>
          <w:sz w:val="20"/>
        </w:rPr>
        <w:t>scoped out</w:t>
      </w:r>
      <w:r>
        <w:rPr>
          <w:sz w:val="20"/>
        </w:rPr>
        <w:t xml:space="preserve"> as a risk-based, proportionate decision — for a system of this size and complexity (a small set of declarative assets plus short Python helpers), a full unit-test suite is not warranted under GAMP 5 proportionality. OQ-030 is recorded </w:t>
      </w:r>
      <w:r>
        <w:rPr>
          <w:b/>
          <w:sz w:val="20"/>
        </w:rPr>
        <w:t>N/A — risk-based</w:t>
      </w:r>
      <w:r>
        <w:rPr>
          <w:sz w:val="20"/>
        </w:rPr>
        <w:t>, not a failure; the inline behavioural checks in the OQ section still evidence the functions.</w:t>
      </w:r>
    </w:p>
    <w:p>
      <w:pPr>
        <w:pStyle w:val="ListBullet"/>
      </w:pPr>
      <w:r>
        <w:rPr>
          <w:b/>
          <w:sz w:val="20"/>
        </w:rPr>
        <w:t>Severity is named by greatest impact.</w:t>
      </w:r>
      <w:r>
        <w:rPr>
          <w:sz w:val="20"/>
        </w:rPr>
        <w:t xml:space="preserve"> Where a gap surfaced in several stages (e.g. the</w:t>
      </w:r>
    </w:p>
    <w:p>
      <w:r>
        <w:rPr>
          <w:sz w:val="20"/>
        </w:rPr>
        <w:t xml:space="preserve">  logging gap GIQ-007 appeared in IQ, OQ, and PQ), it is one entry listing every contributing</w:t>
      </w:r>
    </w:p>
    <w:p>
      <w:r>
        <w:rPr>
          <w:sz w:val="20"/>
        </w:rPr>
        <w:t xml:space="preserve">  test-case, not three.</w:t>
      </w:r>
    </w:p>
    <w:p>
      <w:pPr>
        <w:pStyle w:val="ListBullet"/>
      </w:pPr>
      <w:r>
        <w:rPr>
          <w:sz w:val="20"/>
        </w:rPr>
        <w:t xml:space="preserve">This file is transient and belongs to the target system — do </w:t>
      </w:r>
      <w:r>
        <w:rPr>
          <w:b/>
          <w:sz w:val="20"/>
        </w:rPr>
        <w:t>not</w:t>
      </w:r>
      <w:r>
        <w:rPr>
          <w:sz w:val="20"/>
        </w:rPr>
        <w:t xml:space="preserve"> commit it to long-term</w:t>
      </w:r>
    </w:p>
    <w:p>
      <w:r>
        <w:rPr>
          <w:sz w:val="20"/>
        </w:rPr>
        <w:t xml:space="preserve">  memory. Feed it to a coding agent in the repo to work the gaps; each gap's Definition-of-Done</w:t>
      </w:r>
    </w:p>
    <w:p>
      <w:r>
        <w:rPr>
          <w:sz w:val="20"/>
        </w:rPr>
        <w:t xml:space="preserve">  is the test it must make pass.</w:t>
      </w:r>
    </w:p>
    <w:p>
      <w:pPr>
        <w:keepNext/>
        <w:spacing w:before="200" w:after="80"/>
      </w:pPr>
      <w:r>
        <w:rPr>
          <w:b/>
          <w:color w:val="276BB2"/>
          <w:sz w:val="28"/>
        </w:rPr>
        <w:t>Version history</w:t>
      </w:r>
    </w:p>
    <w:p>
      <w:r>
        <w:rPr>
          <w:sz w:val="20"/>
        </w:rPr>
        <w:t>*Document control for this pack is by approval sign-off (above) and the version summary below; a separate audit log is not maintained for these documents.*</w:t>
      </w:r>
    </w:p>
    <w:tbl>
      <w:tblPr>
        <w:tblStyle w:val="LightGrid-Accent1"/>
        <w:tblW w:type="auto" w:w="0"/>
        <w:tblLayout w:type="autofit"/>
        <w:tblLook w:firstColumn="1" w:firstRow="1" w:lastColumn="0" w:lastRow="0" w:noHBand="0" w:noVBand="1" w:val="04A0"/>
      </w:tblPr>
      <w:tblGrid>
        <w:gridCol w:w="3528"/>
        <w:gridCol w:w="3528"/>
        <w:gridCol w:w="3528"/>
        <w:gridCol w:w="3528"/>
      </w:tblGrid>
      <w:tr>
        <w:tc>
          <w:tcPr>
            <w:tcW w:type="dxa" w:w="3528"/>
            <w:shd w:val="clear" w:fill="276BB2"/>
          </w:tcPr>
          <w:p>
            <w:r/>
            <w:r>
              <w:rPr>
                <w:b/>
                <w:color w:val="FFFFFF"/>
                <w:sz w:val="18"/>
              </w:rPr>
              <w:t>Version</w:t>
            </w:r>
          </w:p>
        </w:tc>
        <w:tc>
          <w:tcPr>
            <w:tcW w:type="dxa" w:w="3528"/>
            <w:shd w:val="clear" w:fill="276BB2"/>
          </w:tcPr>
          <w:p>
            <w:r/>
            <w:r>
              <w:rPr>
                <w:b/>
                <w:color w:val="FFFFFF"/>
                <w:sz w:val="18"/>
              </w:rPr>
              <w:t>Date</w:t>
            </w:r>
          </w:p>
        </w:tc>
        <w:tc>
          <w:tcPr>
            <w:tcW w:type="dxa" w:w="3528"/>
            <w:shd w:val="clear" w:fill="276BB2"/>
          </w:tcPr>
          <w:p>
            <w:r/>
            <w:r>
              <w:rPr>
                <w:b/>
                <w:color w:val="FFFFFF"/>
                <w:sz w:val="18"/>
              </w:rPr>
              <w:t>Author</w:t>
            </w:r>
          </w:p>
        </w:tc>
        <w:tc>
          <w:tcPr>
            <w:tcW w:type="dxa" w:w="3528"/>
            <w:shd w:val="clear" w:fill="276BB2"/>
          </w:tcPr>
          <w:p>
            <w:r/>
            <w:r>
              <w:rPr>
                <w:b/>
                <w:color w:val="FFFFFF"/>
                <w:sz w:val="18"/>
              </w:rPr>
              <w:t>Summary of changes</w:t>
            </w:r>
          </w:p>
        </w:tc>
      </w:tr>
      <w:tr>
        <w:tc>
          <w:tcPr>
            <w:tcW w:type="dxa" w:w="3528"/>
          </w:tcPr>
          <w:p>
            <w:r/>
            <w:r>
              <w:rPr>
                <w:sz w:val="18"/>
              </w:rPr>
              <w:t>0.1 (DRAFT)</w:t>
            </w:r>
          </w:p>
        </w:tc>
        <w:tc>
          <w:tcPr>
            <w:tcW w:type="dxa" w:w="3528"/>
          </w:tcPr>
          <w:p>
            <w:r/>
            <w:r>
              <w:rPr>
                <w:sz w:val="18"/>
              </w:rPr>
              <w:t>2026-06-14</w:t>
            </w:r>
          </w:p>
        </w:tc>
        <w:tc>
          <w:tcPr>
            <w:tcW w:type="dxa" w:w="3528"/>
          </w:tcPr>
          <w:p>
            <w:r/>
            <w:r>
              <w:rPr>
                <w:sz w:val="18"/>
              </w:rPr>
              <w:t>ParaQualis qualification engine</w:t>
            </w:r>
          </w:p>
        </w:tc>
        <w:tc>
          <w:tcPr>
            <w:tcW w:type="dxa" w:w="3528"/>
          </w:tcPr>
          <w:p>
            <w:r/>
            <w:r>
              <w:rPr>
                <w:sz w:val="18"/>
              </w:rPr>
              <w:t>Initial draft generated by `/qualify:build`.</w:t>
            </w:r>
          </w:p>
        </w:tc>
      </w:tr>
      <w:tr>
        <w:tc>
          <w:tcPr>
            <w:tcW w:type="dxa" w:w="3528"/>
          </w:tcPr>
          <w:p>
            <w:r/>
            <w:r>
              <w:rPr>
                <w:sz w:val="18"/>
              </w:rPr>
              <w:t>0.2 (DRAFT)</w:t>
            </w:r>
          </w:p>
        </w:tc>
        <w:tc>
          <w:tcPr>
            <w:tcW w:type="dxa" w:w="3528"/>
          </w:tcPr>
          <w:p>
            <w:r/>
            <w:r>
              <w:rPr>
                <w:sz w:val="18"/>
              </w:rPr>
              <w:t>2026-06-17</w:t>
            </w:r>
          </w:p>
        </w:tc>
        <w:tc>
          <w:tcPr>
            <w:tcW w:type="dxa" w:w="3528"/>
          </w:tcPr>
          <w:p>
            <w:r/>
            <w:r>
              <w:rPr>
                <w:sz w:val="18"/>
              </w:rPr>
              <w:t>ParaQualis qualification engine</w:t>
            </w:r>
          </w:p>
        </w:tc>
        <w:tc>
          <w:tcPr>
            <w:tcW w:type="dxa" w:w="3528"/>
          </w:tcPr>
          <w:p>
            <w:r/>
            <w:r>
              <w:rPr>
                <w:sz w:val="18"/>
              </w:rPr>
              <w:t>Added version-history section. Updated GIQ-001/002/003 status after adding requirements.txt, installing python-docx &amp; openpyxl, and adding pre-flight dependency / Python-version checks; recorded the document-control decision.</w:t>
            </w:r>
          </w:p>
        </w:tc>
      </w:tr>
      <w:tr>
        <w:tc>
          <w:tcPr>
            <w:tcW w:type="dxa" w:w="3528"/>
          </w:tcPr>
          <w:p>
            <w:r/>
            <w:r>
              <w:rPr>
                <w:sz w:val="18"/>
              </w:rPr>
              <w:t>0.3 (DRAFT)</w:t>
            </w:r>
          </w:p>
        </w:tc>
        <w:tc>
          <w:tcPr>
            <w:tcW w:type="dxa" w:w="3528"/>
          </w:tcPr>
          <w:p>
            <w:r/>
            <w:r>
              <w:rPr>
                <w:sz w:val="18"/>
              </w:rPr>
              <w:t>2026-06-17</w:t>
            </w:r>
          </w:p>
        </w:tc>
        <w:tc>
          <w:tcPr>
            <w:tcW w:type="dxa" w:w="3528"/>
          </w:tcPr>
          <w:p>
            <w:r/>
            <w:r>
              <w:rPr>
                <w:sz w:val="18"/>
              </w:rPr>
              <w:t>ParaQualis qualification engine</w:t>
            </w:r>
          </w:p>
        </w:tc>
        <w:tc>
          <w:tcPr>
            <w:tcW w:type="dxa" w:w="3528"/>
          </w:tcPr>
          <w:p>
            <w:r/>
            <w:r>
              <w:rPr>
                <w:sz w:val="18"/>
              </w:rPr>
              <w:t>Removed GOQ-004; automated unit-test suite scoped out as not required at this system size (GAMP 5 proportionality); OQ-030 recorded N/A.</w:t>
            </w:r>
          </w:p>
        </w:tc>
      </w:tr>
      <w:tr>
        <w:tc>
          <w:tcPr>
            <w:tcW w:type="dxa" w:w="3528"/>
          </w:tcPr>
          <w:p>
            <w:r/>
            <w:r>
              <w:rPr>
                <w:sz w:val="18"/>
              </w:rPr>
              <w:t>0.4 (DRAFT)</w:t>
            </w:r>
          </w:p>
        </w:tc>
        <w:tc>
          <w:tcPr>
            <w:tcW w:type="dxa" w:w="3528"/>
          </w:tcPr>
          <w:p>
            <w:r/>
            <w:r>
              <w:rPr>
                <w:sz w:val="18"/>
              </w:rPr>
              <w:t>2026-06-17</w:t>
            </w:r>
          </w:p>
        </w:tc>
        <w:tc>
          <w:tcPr>
            <w:tcW w:type="dxa" w:w="3528"/>
          </w:tcPr>
          <w:p>
            <w:r/>
            <w:r>
              <w:rPr>
                <w:sz w:val="18"/>
              </w:rPr>
              <w:t>ParaQualis qualification engine</w:t>
            </w:r>
          </w:p>
        </w:tc>
        <w:tc>
          <w:tcPr>
            <w:tcW w:type="dxa" w:w="3528"/>
          </w:tcPr>
          <w:p>
            <w:r/>
            <w:r>
              <w:rPr>
                <w:sz w:val="18"/>
              </w:rPr>
              <w:t>Python 3.12 installed; `.venv` created; `mcp==1.28.0` installed and pinned. GIQ-001, GIQ-002 and GIQ-003 closed.</w:t>
            </w:r>
          </w:p>
        </w:tc>
      </w:tr>
      <w:tr>
        <w:tc>
          <w:tcPr>
            <w:tcW w:type="dxa" w:w="3528"/>
          </w:tcPr>
          <w:p>
            <w:r/>
            <w:r>
              <w:rPr>
                <w:sz w:val="18"/>
              </w:rPr>
              <w:t>0.5 (DRAFT)</w:t>
            </w:r>
          </w:p>
        </w:tc>
        <w:tc>
          <w:tcPr>
            <w:tcW w:type="dxa" w:w="3528"/>
          </w:tcPr>
          <w:p>
            <w:r/>
            <w:r>
              <w:rPr>
                <w:sz w:val="18"/>
              </w:rPr>
              <w:t>2026-06-17</w:t>
            </w:r>
          </w:p>
        </w:tc>
        <w:tc>
          <w:tcPr>
            <w:tcW w:type="dxa" w:w="3528"/>
          </w:tcPr>
          <w:p>
            <w:r/>
            <w:r>
              <w:rPr>
                <w:sz w:val="18"/>
              </w:rPr>
              <w:t>ParaQualis qualification engine</w:t>
            </w:r>
          </w:p>
        </w:tc>
        <w:tc>
          <w:tcPr>
            <w:tcW w:type="dxa" w:w="3528"/>
          </w:tcPr>
          <w:p>
            <w:r/>
            <w:r>
              <w:rPr>
                <w:sz w:val="18"/>
              </w:rPr>
              <w:t>Closed GIQ-004 (MCP registered, ✔ Connected), GIQ-005 (plugin hook auto-discovered; dev opt-in), GIQ-006 (version tool), GIQ-007 (logging), GOQ-006 (README), GOQ-007 (min-config doc). OQ-031/032, PQ-031/062 re-run PASS.</w:t>
            </w:r>
          </w:p>
        </w:tc>
      </w:tr>
      <w:tr>
        <w:tc>
          <w:tcPr>
            <w:tcW w:type="dxa" w:w="3528"/>
          </w:tcPr>
          <w:p>
            <w:r/>
            <w:r>
              <w:rPr>
                <w:sz w:val="18"/>
              </w:rPr>
              <w:t>0.6 (DRAFT)</w:t>
            </w:r>
          </w:p>
        </w:tc>
        <w:tc>
          <w:tcPr>
            <w:tcW w:type="dxa" w:w="3528"/>
          </w:tcPr>
          <w:p>
            <w:r/>
            <w:r>
              <w:rPr>
                <w:sz w:val="18"/>
              </w:rPr>
              <w:t>2026-06-17</w:t>
            </w:r>
          </w:p>
        </w:tc>
        <w:tc>
          <w:tcPr>
            <w:tcW w:type="dxa" w:w="3528"/>
          </w:tcPr>
          <w:p>
            <w:r/>
            <w:r>
              <w:rPr>
                <w:sz w:val="18"/>
              </w:rPr>
              <w:t>ParaQualis qualification engine</w:t>
            </w:r>
          </w:p>
        </w:tc>
        <w:tc>
          <w:tcPr>
            <w:tcW w:type="dxa" w:w="3528"/>
          </w:tcPr>
          <w:p>
            <w:r/>
            <w:r>
              <w:rPr>
                <w:sz w:val="18"/>
              </w:rPr>
              <w:t>Qualified-version references updated to v1.2.0 (release bump; remediated build).</w:t>
            </w:r>
          </w:p>
        </w:tc>
      </w:tr>
      <w:tr>
        <w:tc>
          <w:tcPr>
            <w:tcW w:type="dxa" w:w="3528"/>
          </w:tcPr>
          <w:p>
            <w:r/>
            <w:r>
              <w:rPr>
                <w:sz w:val="18"/>
              </w:rPr>
              <w:t>0.7 (DRAFT)</w:t>
            </w:r>
          </w:p>
        </w:tc>
        <w:tc>
          <w:tcPr>
            <w:tcW w:type="dxa" w:w="3528"/>
          </w:tcPr>
          <w:p>
            <w:r/>
            <w:r>
              <w:rPr>
                <w:sz w:val="18"/>
              </w:rPr>
              <w:t>2026-06-18</w:t>
            </w:r>
          </w:p>
        </w:tc>
        <w:tc>
          <w:tcPr>
            <w:tcW w:type="dxa" w:w="3528"/>
          </w:tcPr>
          <w:p>
            <w:r/>
            <w:r>
              <w:rPr>
                <w:sz w:val="18"/>
              </w:rPr>
              <w:t>ParaQualis qualification engine</w:t>
            </w:r>
          </w:p>
        </w:tc>
        <w:tc>
          <w:tcPr>
            <w:tcW w:type="dxa" w:w="3528"/>
          </w:tcPr>
          <w:p>
            <w:r/>
            <w:r>
              <w:rPr>
                <w:sz w:val="18"/>
              </w:rPr>
              <w:t>Plugin id renamed paraqualis-skills → paraqualis-gxp; version 1.1.0 → 1.2.0 (no functional change).</w:t>
            </w:r>
          </w:p>
        </w:tc>
      </w:tr>
    </w:tbl>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 Analysis</dc:title>
  <dc:subject/>
  <dc:creator>ParaQualis LLC</dc:creator>
  <cp:keywords/>
  <dc:description>generated by python-docx</dc:description>
  <cp:lastModifiedBy>ParaQualis LLC</cp:lastModifiedBy>
  <cp:revision>1</cp:revision>
  <dcterms:created xsi:type="dcterms:W3CDTF">2013-12-23T23:15:00Z</dcterms:created>
  <dcterms:modified xsi:type="dcterms:W3CDTF">2013-12-23T23:15:00Z</dcterms:modified>
  <cp:category/>
</cp:coreProperties>
</file>