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0"/>
        </w:rPr>
        <w:t>DRAFT — pending review and approval by appropriately qualified and authorized personnel.</w:t>
      </w:r>
    </w:p>
    <w:p>
      <w:r>
        <w:rPr>
          <w:b/>
          <w:sz w:val="20"/>
        </w:rPr>
        <w:t>PQ readiness verdict:</w:t>
      </w:r>
      <w:r>
        <w:rPr>
          <w:sz w:val="20"/>
        </w:rPr>
        <w:t xml:space="preserve"> *Performance Qualification is NOT YET COMPLETE — the intended-use evidence is drafted and most checks pass as-built, but the pack carries open gaps (server-side logging absent, no dependency manifest, AI-consistency threshold undefined) and several test-cases require live or installed-dependency execution that has not yet been performed and is honestly recorded as not-yet-executed — never as a pass.*</w:t>
      </w:r>
    </w:p>
    <w:p>
      <w:pPr>
        <w:ind w:left="432"/>
      </w:pPr>
      <w:r>
        <w:rPr>
          <w:color w:val="81A5C1"/>
          <w:sz w:val="20"/>
        </w:rPr>
        <w:t xml:space="preserve">This Performance Qualification was </w:t>
      </w:r>
      <w:r>
        <w:rPr>
          <w:b/>
          <w:color w:val="81A5C1"/>
          <w:sz w:val="20"/>
        </w:rPr>
        <w:t>generated</w:t>
      </w:r>
      <w:r>
        <w:rPr>
          <w:color w:val="81A5C1"/>
          <w:sz w:val="20"/>
        </w:rPr>
        <w:t xml:space="preserve"> by the ParaQualis qualification engine (an LLM-driven, GxP-impacting tool) and is </w:t>
      </w:r>
      <w:r>
        <w:rPr>
          <w:b/>
          <w:color w:val="81A5C1"/>
          <w:sz w:val="20"/>
        </w:rPr>
        <w:t>DRAFT</w:t>
      </w:r>
      <w:r>
        <w:rPr>
          <w:color w:val="81A5C1"/>
          <w:sz w:val="20"/>
        </w:rPr>
        <w:t xml:space="preserve"> until reviewed and approved. </w:t>
      </w:r>
      <w:r>
        <w:rPr>
          <w:b/>
          <w:color w:val="81A5C1"/>
          <w:sz w:val="20"/>
        </w:rPr>
        <w:t>Every PQ item below is ParaQualis-authored, pending owner confirmation</w:t>
      </w:r>
      <w:r>
        <w:rPr>
          <w:color w:val="81A5C1"/>
          <w:sz w:val="20"/>
        </w:rPr>
        <w:t xml:space="preserve"> — it traces to the DRAFT URS (`Qualification/requirements/URS.md`), which is itself ParaQualis-authored and pending owner confirmation. The orchestrator-owned gap </w:t>
      </w:r>
      <w:r>
        <w:rPr>
          <w:b/>
          <w:color w:val="81A5C1"/>
          <w:sz w:val="20"/>
        </w:rPr>
        <w:t>GPQ-001</w:t>
      </w:r>
      <w:r>
        <w:rPr>
          <w:color w:val="81A5C1"/>
          <w:sz w:val="20"/>
        </w:rPr>
        <w:t xml:space="preserve"> (no approved requirements document existed before this pack) is referenced here but not re-raised; PQ-stage gaps start at </w:t>
      </w:r>
      <w:r>
        <w:rPr>
          <w:b/>
          <w:color w:val="81A5C1"/>
          <w:sz w:val="20"/>
        </w:rPr>
        <w:t>GPQ-002</w:t>
      </w:r>
      <w:r>
        <w:rPr>
          <w:color w:val="81A5C1"/>
          <w:sz w:val="20"/>
        </w:rPr>
        <w:t>.</w:t>
      </w:r>
    </w:p>
    <w:p>
      <w:pPr>
        <w:keepNext/>
        <w:spacing w:before="200" w:after="80"/>
      </w:pPr>
      <w:r>
        <w:rPr>
          <w:b/>
          <w:color w:val="276BB2"/>
          <w:sz w:val="28"/>
        </w:rPr>
        <w:t>1. What Performance Qualification proves (plain English)</w:t>
      </w:r>
    </w:p>
    <w:p>
      <w:r>
        <w:rPr>
          <w:sz w:val="20"/>
        </w:rPr>
        <w:t xml:space="preserve">Performance Qualification asks one question: </w:t>
      </w:r>
      <w:r>
        <w:rPr>
          <w:b/>
          <w:sz w:val="20"/>
        </w:rPr>
        <w:t>does the system actually do its intended job, with realistic use and realistic data?</w:t>
      </w:r>
      <w:r>
        <w:rPr>
          <w:sz w:val="20"/>
        </w:rPr>
        <w:t xml:space="preserve"> Where Installation Qualification checks the system is correctly *in place* and Operational Qualification checks each function *works to spec*, PQ exercises the </w:t>
      </w:r>
      <w:r>
        <w:rPr>
          <w:b/>
          <w:sz w:val="20"/>
        </w:rPr>
        <w:t>whole job end-to-end</w:t>
      </w:r>
      <w:r>
        <w:rPr>
          <w:sz w:val="20"/>
        </w:rPr>
        <w:t xml:space="preserve"> and traces each result back to a stated requirement (`URS-NNN`). Each test-case below maps one URS requirement to the place its real-world behaviour can be evidenced.</w:t>
      </w:r>
    </w:p>
    <w:p>
      <w:r>
        <w:rPr>
          <w:sz w:val="20"/>
        </w:rPr>
        <w:t>The system under test is `paraqualis-skills` — a Claude Code toolkit for life-sciences regulatory and computer-system-validation work (regulatory commands, auto-invoked advisory skills, parallel qualification sub-agents, an openFDA tool server, and a document-protection hook). Because the qualification engine uses an LLM to generate GxP-impacting evidence, the AI-specific test-cases (`PQ-AI-0NN`) additionally check that AI claims are traceable, human-reviewed, scoped to a stated Context of Use, and consistent.</w:t>
      </w:r>
    </w:p>
    <w:p>
      <w:pPr>
        <w:keepNext/>
        <w:spacing w:before="200" w:after="80"/>
      </w:pPr>
      <w:r>
        <w:rPr>
          <w:b/>
          <w:color w:val="276BB2"/>
          <w:sz w:val="28"/>
        </w:rPr>
        <w:t>2. Context of Use and self-qualification caveat (AI governance)</w:t>
      </w:r>
    </w:p>
    <w:p>
      <w:r>
        <w:rPr>
          <w:b/>
          <w:sz w:val="20"/>
        </w:rPr>
        <w:t>Context of Use (COU):</w:t>
      </w:r>
      <w:r>
        <w:rPr>
          <w:sz w:val="20"/>
        </w:rPr>
        <w:t xml:space="preserve"> the AI components (the qualification engine and its IQ/OQ/PQ sub-agents, plus the two advisory skills) are used to </w:t>
      </w:r>
      <w:r>
        <w:rPr>
          <w:b/>
          <w:sz w:val="20"/>
        </w:rPr>
        <w:t>draft</w:t>
      </w:r>
      <w:r>
        <w:rPr>
          <w:sz w:val="20"/>
        </w:rPr>
        <w:t xml:space="preserve"> regulatory analysis and qualification evidence for review by qualified personnel. The output is decision-</w:t>
      </w:r>
      <w:r>
        <w:rPr>
          <w:b/>
          <w:sz w:val="20"/>
        </w:rPr>
        <w:t>support</w:t>
      </w:r>
      <w:r>
        <w:rPr>
          <w:sz w:val="20"/>
        </w:rPr>
        <w:t xml:space="preserve">, not an automated decision. </w:t>
      </w:r>
      <w:r>
        <w:rPr>
          <w:b/>
          <w:sz w:val="20"/>
        </w:rPr>
        <w:t>Self-qualification caveat:</w:t>
      </w:r>
      <w:r>
        <w:rPr>
          <w:sz w:val="20"/>
        </w:rPr>
        <w:t xml:space="preserve"> this engine is itself a </w:t>
      </w:r>
      <w:r>
        <w:rPr>
          <w:b/>
          <w:sz w:val="20"/>
        </w:rPr>
        <w:t>GxP-impacting tool that would require its own qualification</w:t>
      </w:r>
      <w:r>
        <w:rPr>
          <w:sz w:val="20"/>
        </w:rPr>
        <w:t xml:space="preserve"> before its output is relied upon as formal evidence; it structures and accelerates evidence, it </w:t>
      </w:r>
      <w:r>
        <w:rPr>
          <w:b/>
          <w:sz w:val="20"/>
        </w:rPr>
        <w:t>does not self-certify</w:t>
      </w:r>
      <w:r>
        <w:rPr>
          <w:sz w:val="20"/>
        </w:rPr>
        <w:t xml:space="preserve">. All AI output is issued </w:t>
      </w:r>
      <w:r>
        <w:rPr>
          <w:b/>
          <w:sz w:val="20"/>
        </w:rPr>
        <w:t>DRAFT requiring human review</w:t>
      </w:r>
      <w:r>
        <w:rPr>
          <w:sz w:val="20"/>
        </w:rPr>
        <w:t xml:space="preserve"> by the named reviewer roles below before any reliance.</w:t>
      </w:r>
    </w:p>
    <w:p>
      <w:pPr>
        <w:keepNext/>
        <w:spacing w:before="200" w:after="80"/>
      </w:pPr>
      <w:r>
        <w:rPr>
          <w:b/>
          <w:color w:val="276BB2"/>
          <w:sz w:val="28"/>
        </w:rPr>
        <w:t>3. How to read the result columns</w:t>
      </w:r>
    </w:p>
    <w:p>
      <w:r>
        <w:rPr>
          <w:sz w:val="20"/>
        </w:rPr>
        <w:t xml:space="preserve">Each test-case ships with its script/procedure (in `Qualification/scripts/`) and a </w:t>
      </w:r>
      <w:r>
        <w:rPr>
          <w:b/>
          <w:sz w:val="20"/>
        </w:rPr>
        <w:t>blank execution-record block</w:t>
      </w:r>
      <w:r>
        <w:rPr>
          <w:sz w:val="20"/>
        </w:rPr>
        <w:t xml:space="preserve"> that becomes the evidence once the test is run by a qualified person. Results are reported in three honest categories — </w:t>
      </w:r>
      <w:r>
        <w:rPr>
          <w:b/>
          <w:sz w:val="20"/>
        </w:rPr>
        <w:t>PASS</w:t>
      </w:r>
      <w:r>
        <w:rPr>
          <w:sz w:val="20"/>
        </w:rPr>
        <w:t xml:space="preserve">, </w:t>
      </w:r>
      <w:r>
        <w:rPr>
          <w:b/>
          <w:sz w:val="20"/>
        </w:rPr>
        <w:t>FAIL</w:t>
      </w:r>
      <w:r>
        <w:rPr>
          <w:sz w:val="20"/>
        </w:rPr>
        <w:t xml:space="preserve">, </w:t>
      </w:r>
      <w:r>
        <w:rPr>
          <w:b/>
          <w:sz w:val="20"/>
        </w:rPr>
        <w:t>not-yet-executed</w:t>
      </w:r>
      <w:r>
        <w:rPr>
          <w:sz w:val="20"/>
        </w:rPr>
        <w:t xml:space="preserve"> — and </w:t>
      </w:r>
      <w:r>
        <w:rPr>
          <w:b/>
          <w:sz w:val="20"/>
        </w:rPr>
        <w:t>a skip is never counted as a pass</w:t>
      </w:r>
      <w:r>
        <w:rPr>
          <w:sz w:val="20"/>
        </w:rPr>
        <w:t xml:space="preserve">. The "As-built indication" column records what the *generation-time* dry-run of the script showed (where it could be run read-only in this environment); it is an indication only and </w:t>
      </w:r>
      <w:r>
        <w:rPr>
          <w:b/>
          <w:sz w:val="20"/>
        </w:rPr>
        <w:t>does not replace</w:t>
      </w:r>
      <w:r>
        <w:rPr>
          <w:sz w:val="20"/>
        </w:rPr>
        <w:t xml:space="preserve"> the witnessed execution record.</w:t>
      </w:r>
    </w:p>
    <w:p>
      <w:pPr>
        <w:keepNext/>
        <w:spacing w:before="200" w:after="80"/>
      </w:pPr>
      <w:r>
        <w:rPr>
          <w:b/>
          <w:color w:val="276BB2"/>
          <w:sz w:val="28"/>
        </w:rPr>
        <w:t>4. PQ Test-cases</w:t>
      </w:r>
    </w:p>
    <w:tbl>
      <w:tblPr>
        <w:tblStyle w:val="LightGrid-Accent1"/>
        <w:tblW w:type="auto" w:w="0"/>
        <w:tblLayout w:type="autofit"/>
        <w:tblLook w:firstColumn="1" w:firstRow="1" w:lastColumn="0" w:lastRow="0" w:noHBand="0" w:noVBand="1" w:val="04A0"/>
      </w:tblPr>
      <w:tblGrid>
        <w:gridCol w:w="1568"/>
        <w:gridCol w:w="1568"/>
        <w:gridCol w:w="1568"/>
        <w:gridCol w:w="1568"/>
        <w:gridCol w:w="1568"/>
        <w:gridCol w:w="1568"/>
        <w:gridCol w:w="1568"/>
        <w:gridCol w:w="1568"/>
        <w:gridCol w:w="1568"/>
      </w:tblGrid>
      <w:tr>
        <w:tc>
          <w:tcPr>
            <w:tcW w:type="dxa" w:w="1568"/>
            <w:shd w:val="clear" w:fill="276BB2"/>
          </w:tcPr>
          <w:p>
            <w:r/>
            <w:r>
              <w:rPr>
                <w:b/>
                <w:color w:val="FFFFFF"/>
                <w:sz w:val="18"/>
              </w:rPr>
              <w:t>ID</w:t>
            </w:r>
          </w:p>
        </w:tc>
        <w:tc>
          <w:tcPr>
            <w:tcW w:type="dxa" w:w="1568"/>
            <w:shd w:val="clear" w:fill="276BB2"/>
          </w:tcPr>
          <w:p>
            <w:r/>
            <w:r>
              <w:rPr>
                <w:b/>
                <w:color w:val="FFFFFF"/>
                <w:sz w:val="18"/>
              </w:rPr>
              <w:t>Requirement (traced URS-NNN)</w:t>
            </w:r>
          </w:p>
        </w:tc>
        <w:tc>
          <w:tcPr>
            <w:tcW w:type="dxa" w:w="1568"/>
            <w:shd w:val="clear" w:fill="276BB2"/>
          </w:tcPr>
          <w:p>
            <w:r/>
            <w:r>
              <w:rPr>
                <w:b/>
                <w:color w:val="FFFFFF"/>
                <w:sz w:val="18"/>
              </w:rPr>
              <w:t>Flag</w:t>
            </w:r>
          </w:p>
        </w:tc>
        <w:tc>
          <w:tcPr>
            <w:tcW w:type="dxa" w:w="1568"/>
            <w:shd w:val="clear" w:fill="276BB2"/>
          </w:tcPr>
          <w:p>
            <w:r/>
            <w:r>
              <w:rPr>
                <w:b/>
                <w:color w:val="FFFFFF"/>
                <w:sz w:val="18"/>
              </w:rPr>
              <w:t>Regulatory linkage</w:t>
            </w:r>
          </w:p>
        </w:tc>
        <w:tc>
          <w:tcPr>
            <w:tcW w:type="dxa" w:w="1568"/>
            <w:shd w:val="clear" w:fill="276BB2"/>
          </w:tcPr>
          <w:p>
            <w:r/>
            <w:r>
              <w:rPr>
                <w:b/>
                <w:color w:val="FFFFFF"/>
                <w:sz w:val="18"/>
              </w:rPr>
              <w:t>Test method</w:t>
            </w:r>
          </w:p>
        </w:tc>
        <w:tc>
          <w:tcPr>
            <w:tcW w:type="dxa" w:w="1568"/>
            <w:shd w:val="clear" w:fill="276BB2"/>
          </w:tcPr>
          <w:p>
            <w:r/>
            <w:r>
              <w:rPr>
                <w:b/>
                <w:color w:val="FFFFFF"/>
                <w:sz w:val="18"/>
              </w:rPr>
              <w:t>Test artifact (script/procedure)</w:t>
            </w:r>
          </w:p>
        </w:tc>
        <w:tc>
          <w:tcPr>
            <w:tcW w:type="dxa" w:w="1568"/>
            <w:shd w:val="clear" w:fill="276BB2"/>
          </w:tcPr>
          <w:p>
            <w:r/>
            <w:r>
              <w:rPr>
                <w:b/>
                <w:color w:val="FFFFFF"/>
                <w:sz w:val="18"/>
              </w:rPr>
              <w:t>Acceptance criteria</w:t>
            </w:r>
          </w:p>
        </w:tc>
        <w:tc>
          <w:tcPr>
            <w:tcW w:type="dxa" w:w="1568"/>
            <w:shd w:val="clear" w:fill="276BB2"/>
          </w:tcPr>
          <w:p>
            <w:r/>
            <w:r>
              <w:rPr>
                <w:b/>
                <w:color w:val="FFFFFF"/>
                <w:sz w:val="18"/>
              </w:rPr>
              <w:t>Expected result</w:t>
            </w:r>
          </w:p>
        </w:tc>
        <w:tc>
          <w:tcPr>
            <w:tcW w:type="dxa" w:w="1568"/>
            <w:shd w:val="clear" w:fill="276BB2"/>
          </w:tcPr>
          <w:p>
            <w:r/>
            <w:r>
              <w:rPr>
                <w:b/>
                <w:color w:val="FFFFFF"/>
                <w:sz w:val="18"/>
              </w:rPr>
              <w:t>As-built indication (NOT the execution record)</w:t>
            </w:r>
          </w:p>
        </w:tc>
      </w:tr>
      <w:tr>
        <w:tc>
          <w:tcPr>
            <w:tcW w:type="dxa" w:w="1568"/>
          </w:tcPr>
          <w:p>
            <w:r/>
            <w:r>
              <w:rPr>
                <w:b/>
                <w:sz w:val="18"/>
              </w:rPr>
              <w:t>PQ-001</w:t>
            </w:r>
          </w:p>
        </w:tc>
        <w:tc>
          <w:tcPr>
            <w:tcW w:type="dxa" w:w="1568"/>
          </w:tcPr>
          <w:p>
            <w:r/>
            <w:r>
              <w:rPr>
                <w:sz w:val="18"/>
              </w:rPr>
              <w:t>Slash commands are discoverable, grouped by the six families a user picks from. (</w:t>
            </w:r>
            <w:r>
              <w:rPr>
                <w:b/>
                <w:sz w:val="18"/>
              </w:rPr>
              <w:t>URS-001</w:t>
            </w:r>
            <w:r>
              <w:rPr>
                <w:sz w:val="18"/>
              </w:rPr>
              <w:t>)</w:t>
            </w:r>
          </w:p>
        </w:tc>
        <w:tc>
          <w:tcPr>
            <w:tcW w:type="dxa" w:w="1568"/>
          </w:tcPr>
          <w:p>
            <w:r/>
            <w:r>
              <w:rPr>
                <w:sz w:val="18"/>
              </w:rPr>
              <w:t>ParaQualis-authored, pending owner confirmation</w:t>
            </w:r>
          </w:p>
        </w:tc>
        <w:tc>
          <w:tcPr>
            <w:tcW w:type="dxa" w:w="1568"/>
          </w:tcPr>
          <w:p>
            <w:r/>
            <w:r>
              <w:rPr>
                <w:sz w:val="18"/>
              </w:rPr>
              <w:t>GAMP 5 (Cat 5 functional spec)</w:t>
            </w:r>
          </w:p>
        </w:tc>
        <w:tc>
          <w:tcPr>
            <w:tcW w:type="dxa" w:w="1568"/>
          </w:tcPr>
          <w:p>
            <w:r/>
            <w:r>
              <w:rPr>
                <w:sz w:val="18"/>
              </w:rPr>
              <w:t>Automated (read-only)</w:t>
            </w:r>
          </w:p>
        </w:tc>
        <w:tc>
          <w:tcPr>
            <w:tcW w:type="dxa" w:w="1568"/>
          </w:tcPr>
          <w:p>
            <w:r/>
            <w:r>
              <w:rPr>
                <w:sz w:val="18"/>
              </w:rPr>
              <w:t>`scripts/PQ-001-command-families-discoverable.sh`</w:t>
            </w:r>
          </w:p>
        </w:tc>
        <w:tc>
          <w:tcPr>
            <w:tcW w:type="dxa" w:w="1568"/>
          </w:tcPr>
          <w:p>
            <w:r/>
            <w:r>
              <w:rPr>
                <w:sz w:val="18"/>
              </w:rPr>
              <w:t>All six families (`cfr21-11`, `eCFR`, `eu-annex11`, `gamp`, `openfda`, `qualify`) present, each with ≥1 command file carrying `description:` frontmatter.</w:t>
            </w:r>
          </w:p>
        </w:tc>
        <w:tc>
          <w:tcPr>
            <w:tcW w:type="dxa" w:w="1568"/>
          </w:tcPr>
          <w:p>
            <w:r/>
            <w:r>
              <w:rPr>
                <w:sz w:val="18"/>
              </w:rPr>
              <w:t>Every family present and discoverable; PASS.</w:t>
            </w:r>
          </w:p>
        </w:tc>
        <w:tc>
          <w:tcPr>
            <w:tcW w:type="dxa" w:w="1568"/>
          </w:tcPr>
          <w:p>
            <w:r/>
            <w:r>
              <w:rPr>
                <w:sz w:val="18"/>
              </w:rPr>
              <w:t>PASS — all six families present (18 commands).</w:t>
            </w:r>
          </w:p>
        </w:tc>
      </w:tr>
      <w:tr>
        <w:tc>
          <w:tcPr>
            <w:tcW w:type="dxa" w:w="1568"/>
          </w:tcPr>
          <w:p>
            <w:r/>
            <w:r>
              <w:rPr>
                <w:b/>
                <w:sz w:val="18"/>
              </w:rPr>
              <w:t>PQ-002</w:t>
            </w:r>
          </w:p>
        </w:tc>
        <w:tc>
          <w:tcPr>
            <w:tcW w:type="dxa" w:w="1568"/>
          </w:tcPr>
          <w:p>
            <w:r/>
            <w:r>
              <w:rPr>
                <w:sz w:val="18"/>
              </w:rPr>
              <w:t>Advisory skills auto-invoke on a representative prompt and answer from their bundled reference corpus, not invented regulation. (</w:t>
            </w:r>
            <w:r>
              <w:rPr>
                <w:b/>
                <w:sz w:val="18"/>
              </w:rPr>
              <w:t>URS-002</w:t>
            </w:r>
            <w:r>
              <w:rPr>
                <w:sz w:val="18"/>
              </w:rPr>
              <w:t>)</w:t>
            </w:r>
          </w:p>
        </w:tc>
        <w:tc>
          <w:tcPr>
            <w:tcW w:type="dxa" w:w="1568"/>
          </w:tcPr>
          <w:p>
            <w:r/>
            <w:r>
              <w:rPr>
                <w:sz w:val="18"/>
              </w:rPr>
              <w:t>ParaQualis-authored, pending owner confirmation</w:t>
            </w:r>
          </w:p>
        </w:tc>
        <w:tc>
          <w:tcPr>
            <w:tcW w:type="dxa" w:w="1568"/>
          </w:tcPr>
          <w:p>
            <w:r/>
            <w:r>
              <w:rPr>
                <w:sz w:val="18"/>
              </w:rPr>
              <w:t>GAMP 5; 21 CFR Part 11; ISPE GAMP AI (grounded output)</w:t>
            </w:r>
          </w:p>
        </w:tc>
        <w:tc>
          <w:tcPr>
            <w:tcW w:type="dxa" w:w="1568"/>
          </w:tcPr>
          <w:p>
            <w:r/>
            <w:r>
              <w:rPr>
                <w:sz w:val="18"/>
              </w:rPr>
              <w:t>Manual (witnessed — LLM runtime behaviour)</w:t>
            </w:r>
          </w:p>
        </w:tc>
        <w:tc>
          <w:tcPr>
            <w:tcW w:type="dxa" w:w="1568"/>
          </w:tcPr>
          <w:p>
            <w:r/>
            <w:r>
              <w:rPr>
                <w:sz w:val="18"/>
              </w:rPr>
              <w:t>`scripts/PQ-002-skill-autoinvoke-corpus.md`</w:t>
            </w:r>
          </w:p>
        </w:tc>
        <w:tc>
          <w:tcPr>
            <w:tcW w:type="dxa" w:w="1568"/>
          </w:tcPr>
          <w:p>
            <w:r/>
            <w:r>
              <w:rPr>
                <w:sz w:val="18"/>
              </w:rPr>
              <w:t>Correct skill activates unprompted; ≥1 cited control verified against the bundled `reference/` file.</w:t>
            </w:r>
          </w:p>
        </w:tc>
        <w:tc>
          <w:tcPr>
            <w:tcW w:type="dxa" w:w="1568"/>
          </w:tcPr>
          <w:p>
            <w:r/>
            <w:r>
              <w:rPr>
                <w:sz w:val="18"/>
              </w:rPr>
              <w:t>Both skills auto-invoke and cite their corpora.</w:t>
            </w:r>
          </w:p>
        </w:tc>
        <w:tc>
          <w:tcPr>
            <w:tcW w:type="dxa" w:w="1568"/>
          </w:tcPr>
          <w:p>
            <w:r/>
            <w:r>
              <w:rPr>
                <w:sz w:val="18"/>
              </w:rPr>
              <w:t>Not-yet-executed (requires a live session).</w:t>
            </w:r>
          </w:p>
        </w:tc>
      </w:tr>
      <w:tr>
        <w:tc>
          <w:tcPr>
            <w:tcW w:type="dxa" w:w="1568"/>
          </w:tcPr>
          <w:p>
            <w:r/>
            <w:r>
              <w:rPr>
                <w:b/>
                <w:sz w:val="18"/>
              </w:rPr>
              <w:t>PQ-003</w:t>
            </w:r>
          </w:p>
        </w:tc>
        <w:tc>
          <w:tcPr>
            <w:tcW w:type="dxa" w:w="1568"/>
          </w:tcPr>
          <w:p>
            <w:r/>
            <w:r>
              <w:rPr>
                <w:sz w:val="18"/>
              </w:rPr>
              <w:t>The engine fans out to the three xQ sub-agents in parallel and produces a pack confined to `Qualification/`. (</w:t>
            </w:r>
            <w:r>
              <w:rPr>
                <w:b/>
                <w:sz w:val="18"/>
              </w:rPr>
              <w:t>URS-003</w:t>
            </w:r>
            <w:r>
              <w:rPr>
                <w:sz w:val="18"/>
              </w:rPr>
              <w:t xml:space="preserve">, </w:t>
            </w:r>
            <w:r>
              <w:rPr>
                <w:b/>
                <w:sz w:val="18"/>
              </w:rPr>
              <w:t>URS-004</w:t>
            </w:r>
            <w:r>
              <w:rPr>
                <w:sz w:val="18"/>
              </w:rPr>
              <w:t>)</w:t>
            </w:r>
          </w:p>
        </w:tc>
        <w:tc>
          <w:tcPr>
            <w:tcW w:type="dxa" w:w="1568"/>
          </w:tcPr>
          <w:p>
            <w:r/>
            <w:r>
              <w:rPr>
                <w:sz w:val="18"/>
              </w:rPr>
              <w:t>ParaQualis-authored, pending owner confirmation</w:t>
            </w:r>
          </w:p>
        </w:tc>
        <w:tc>
          <w:tcPr>
            <w:tcW w:type="dxa" w:w="1568"/>
          </w:tcPr>
          <w:p>
            <w:r/>
            <w:r>
              <w:rPr>
                <w:sz w:val="18"/>
              </w:rPr>
              <w:t>GAMP 5 lifecycle; Annex 11 cl.4</w:t>
            </w:r>
          </w:p>
        </w:tc>
        <w:tc>
          <w:tcPr>
            <w:tcW w:type="dxa" w:w="1568"/>
          </w:tcPr>
          <w:p>
            <w:r/>
            <w:r>
              <w:rPr>
                <w:sz w:val="18"/>
              </w:rPr>
              <w:t>Automated (static wiring) + live witnessed run</w:t>
            </w:r>
          </w:p>
        </w:tc>
        <w:tc>
          <w:tcPr>
            <w:tcW w:type="dxa" w:w="1568"/>
          </w:tcPr>
          <w:p>
            <w:r/>
            <w:r>
              <w:rPr>
                <w:sz w:val="18"/>
              </w:rPr>
              <w:t>`scripts/PQ-003-engine-fanout-pack.sh`</w:t>
            </w:r>
          </w:p>
        </w:tc>
        <w:tc>
          <w:tcPr>
            <w:tcW w:type="dxa" w:w="1568"/>
          </w:tcPr>
          <w:p>
            <w:r/>
            <w:r>
              <w:rPr>
                <w:sz w:val="18"/>
              </w:rPr>
              <w:t>All three sub-agents exist and are delegated by `/qualify:build`; output confined to `Qualification/`.</w:t>
            </w:r>
          </w:p>
        </w:tc>
        <w:tc>
          <w:tcPr>
            <w:tcW w:type="dxa" w:w="1568"/>
          </w:tcPr>
          <w:p>
            <w:r/>
            <w:r>
              <w:rPr>
                <w:sz w:val="18"/>
              </w:rPr>
              <w:t>Fan-out wiring + confinement present; live run populates all three sections, touches only `Qualification/`.</w:t>
            </w:r>
          </w:p>
        </w:tc>
        <w:tc>
          <w:tcPr>
            <w:tcW w:type="dxa" w:w="1568"/>
          </w:tcPr>
          <w:p>
            <w:r/>
            <w:r>
              <w:rPr>
                <w:sz w:val="18"/>
              </w:rPr>
              <w:t>PASS (wiring); full evidence needs a witnessed live build.</w:t>
            </w:r>
          </w:p>
        </w:tc>
      </w:tr>
      <w:tr>
        <w:tc>
          <w:tcPr>
            <w:tcW w:type="dxa" w:w="1568"/>
          </w:tcPr>
          <w:p>
            <w:r/>
            <w:r>
              <w:rPr>
                <w:b/>
                <w:sz w:val="18"/>
              </w:rPr>
              <w:t>PQ-004</w:t>
            </w:r>
          </w:p>
        </w:tc>
        <w:tc>
          <w:tcPr>
            <w:tcW w:type="dxa" w:w="1568"/>
          </w:tcPr>
          <w:p>
            <w:r/>
            <w:r>
              <w:rPr>
                <w:sz w:val="18"/>
              </w:rPr>
              <w:t>The openFDA tools return correctly-shaped results for a representative query. (</w:t>
            </w:r>
            <w:r>
              <w:rPr>
                <w:b/>
                <w:sz w:val="18"/>
              </w:rPr>
              <w:t>URS-005</w:t>
            </w:r>
            <w:r>
              <w:rPr>
                <w:sz w:val="18"/>
              </w:rPr>
              <w:t>)</w:t>
            </w:r>
          </w:p>
        </w:tc>
        <w:tc>
          <w:tcPr>
            <w:tcW w:type="dxa" w:w="1568"/>
          </w:tcPr>
          <w:p>
            <w:r/>
            <w:r>
              <w:rPr>
                <w:sz w:val="18"/>
              </w:rPr>
              <w:t>ParaQualis-authored, pending owner confirmation</w:t>
            </w:r>
          </w:p>
        </w:tc>
        <w:tc>
          <w:tcPr>
            <w:tcW w:type="dxa" w:w="1568"/>
          </w:tcPr>
          <w:p>
            <w:r/>
            <w:r>
              <w:rPr>
                <w:sz w:val="18"/>
              </w:rPr>
              <w:t>GAMP 5 (Cat 3/4 interfaced service)</w:t>
            </w:r>
          </w:p>
        </w:tc>
        <w:tc>
          <w:tcPr>
            <w:tcW w:type="dxa" w:w="1568"/>
          </w:tcPr>
          <w:p>
            <w:r/>
            <w:r>
              <w:rPr>
                <w:sz w:val="18"/>
              </w:rPr>
              <w:t>Automated (live API, read-only)</w:t>
            </w:r>
          </w:p>
        </w:tc>
        <w:tc>
          <w:tcPr>
            <w:tcW w:type="dxa" w:w="1568"/>
          </w:tcPr>
          <w:p>
            <w:r/>
            <w:r>
              <w:rPr>
                <w:sz w:val="18"/>
              </w:rPr>
              <w:t>`scripts/PQ-004-openfda-shaped-results.py`</w:t>
            </w:r>
          </w:p>
        </w:tc>
        <w:tc>
          <w:tcPr>
            <w:tcW w:type="dxa" w:w="1568"/>
          </w:tcPr>
          <w:p>
            <w:r/>
            <w:r>
              <w:rPr>
                <w:sz w:val="18"/>
              </w:rPr>
              <w:t>Tool returns the documented trimmed field set, or a cleanly-surfaced error.</w:t>
            </w:r>
          </w:p>
        </w:tc>
        <w:tc>
          <w:tcPr>
            <w:tcW w:type="dxa" w:w="1568"/>
          </w:tcPr>
          <w:p>
            <w:r/>
            <w:r>
              <w:rPr>
                <w:sz w:val="18"/>
              </w:rPr>
              <w:t>Result shape matches the tool contract.</w:t>
            </w:r>
          </w:p>
        </w:tc>
        <w:tc>
          <w:tcPr>
            <w:tcW w:type="dxa" w:w="1568"/>
          </w:tcPr>
          <w:p>
            <w:r/>
            <w:r>
              <w:rPr>
                <w:sz w:val="18"/>
              </w:rPr>
              <w:t>Not-yet-executed here (`mcp` dependency not installed; no live API access).</w:t>
            </w:r>
          </w:p>
        </w:tc>
      </w:tr>
      <w:tr>
        <w:tc>
          <w:tcPr>
            <w:tcW w:type="dxa" w:w="1568"/>
          </w:tcPr>
          <w:p>
            <w:r/>
            <w:r>
              <w:rPr>
                <w:b/>
                <w:sz w:val="18"/>
              </w:rPr>
              <w:t>PQ-005</w:t>
            </w:r>
          </w:p>
        </w:tc>
        <w:tc>
          <w:tcPr>
            <w:tcW w:type="dxa" w:w="1568"/>
          </w:tcPr>
          <w:p>
            <w:r/>
            <w:r>
              <w:rPr>
                <w:sz w:val="18"/>
              </w:rPr>
              <w:t>The eCFR commands return live regulatory content matching the official source for a known citation. (</w:t>
            </w:r>
            <w:r>
              <w:rPr>
                <w:b/>
                <w:sz w:val="18"/>
              </w:rPr>
              <w:t>URS-006</w:t>
            </w:r>
            <w:r>
              <w:rPr>
                <w:sz w:val="18"/>
              </w:rPr>
              <w:t>)</w:t>
            </w:r>
          </w:p>
        </w:tc>
        <w:tc>
          <w:tcPr>
            <w:tcW w:type="dxa" w:w="1568"/>
          </w:tcPr>
          <w:p>
            <w:r/>
            <w:r>
              <w:rPr>
                <w:sz w:val="18"/>
              </w:rPr>
              <w:t>ParaQualis-authored, pending owner confirmation</w:t>
            </w:r>
          </w:p>
        </w:tc>
        <w:tc>
          <w:tcPr>
            <w:tcW w:type="dxa" w:w="1568"/>
          </w:tcPr>
          <w:p>
            <w:r/>
            <w:r>
              <w:rPr>
                <w:sz w:val="18"/>
              </w:rPr>
              <w:t>21 CFR Part 11; Annex 11 (current controls)</w:t>
            </w:r>
          </w:p>
        </w:tc>
        <w:tc>
          <w:tcPr>
            <w:tcW w:type="dxa" w:w="1568"/>
          </w:tcPr>
          <w:p>
            <w:r/>
            <w:r>
              <w:rPr>
                <w:sz w:val="18"/>
              </w:rPr>
              <w:t>Manual (witnessed — live `WebFetch`)</w:t>
            </w:r>
          </w:p>
        </w:tc>
        <w:tc>
          <w:tcPr>
            <w:tcW w:type="dxa" w:w="1568"/>
          </w:tcPr>
          <w:p>
            <w:r/>
            <w:r>
              <w:rPr>
                <w:sz w:val="18"/>
              </w:rPr>
              <w:t>`scripts/PQ-005-ecfr-live-content.md`</w:t>
            </w:r>
          </w:p>
        </w:tc>
        <w:tc>
          <w:tcPr>
            <w:tcW w:type="dxa" w:w="1568"/>
          </w:tcPr>
          <w:p>
            <w:r/>
            <w:r>
              <w:rPr>
                <w:sz w:val="18"/>
              </w:rPr>
              <w:t>A live fetch is observed; returned §11.10 text matches the live eCFR source.</w:t>
            </w:r>
          </w:p>
        </w:tc>
        <w:tc>
          <w:tcPr>
            <w:tcW w:type="dxa" w:w="1568"/>
          </w:tcPr>
          <w:p>
            <w:r/>
            <w:r>
              <w:rPr>
                <w:sz w:val="18"/>
              </w:rPr>
              <w:t>Returned content identical to live eCFR.</w:t>
            </w:r>
          </w:p>
        </w:tc>
        <w:tc>
          <w:tcPr>
            <w:tcW w:type="dxa" w:w="1568"/>
          </w:tcPr>
          <w:p>
            <w:r/>
            <w:r>
              <w:rPr>
                <w:sz w:val="18"/>
              </w:rPr>
              <w:t>Not-yet-executed (requires a live session + internet).</w:t>
            </w:r>
          </w:p>
        </w:tc>
      </w:tr>
      <w:tr>
        <w:tc>
          <w:tcPr>
            <w:tcW w:type="dxa" w:w="1568"/>
          </w:tcPr>
          <w:p>
            <w:r/>
            <w:r>
              <w:rPr>
                <w:b/>
                <w:sz w:val="18"/>
              </w:rPr>
              <w:t>PQ-006</w:t>
            </w:r>
          </w:p>
        </w:tc>
        <w:tc>
          <w:tcPr>
            <w:tcW w:type="dxa" w:w="1568"/>
          </w:tcPr>
          <w:p>
            <w:r/>
            <w:r>
              <w:rPr>
                <w:sz w:val="18"/>
              </w:rPr>
              <w:t>The Word and Excel builders render the Markdown source of truth faithfully. (</w:t>
            </w:r>
            <w:r>
              <w:rPr>
                <w:b/>
                <w:sz w:val="18"/>
              </w:rPr>
              <w:t>URS-007</w:t>
            </w:r>
            <w:r>
              <w:rPr>
                <w:sz w:val="18"/>
              </w:rPr>
              <w:t xml:space="preserve">, </w:t>
            </w:r>
            <w:r>
              <w:rPr>
                <w:b/>
                <w:sz w:val="18"/>
              </w:rPr>
              <w:t>URS-011</w:t>
            </w:r>
            <w:r>
              <w:rPr>
                <w:sz w:val="18"/>
              </w:rPr>
              <w:t>)</w:t>
            </w:r>
          </w:p>
        </w:tc>
        <w:tc>
          <w:tcPr>
            <w:tcW w:type="dxa" w:w="1568"/>
          </w:tcPr>
          <w:p>
            <w:r/>
            <w:r>
              <w:rPr>
                <w:sz w:val="18"/>
              </w:rPr>
              <w:t>ParaQualis-authored, pending owner confirmation</w:t>
            </w:r>
          </w:p>
        </w:tc>
        <w:tc>
          <w:tcPr>
            <w:tcW w:type="dxa" w:w="1568"/>
          </w:tcPr>
          <w:p>
            <w:r/>
            <w:r>
              <w:rPr>
                <w:sz w:val="18"/>
              </w:rPr>
              <w:t>GAMP 5 (documented evidence); ALCOA+ (Original/Consistent)</w:t>
            </w:r>
          </w:p>
        </w:tc>
        <w:tc>
          <w:tcPr>
            <w:tcW w:type="dxa" w:w="1568"/>
          </w:tcPr>
          <w:p>
            <w:r/>
            <w:r>
              <w:rPr>
                <w:sz w:val="18"/>
              </w:rPr>
              <w:t>Automated (isolated temp copy)</w:t>
            </w:r>
          </w:p>
        </w:tc>
        <w:tc>
          <w:tcPr>
            <w:tcW w:type="dxa" w:w="1568"/>
          </w:tcPr>
          <w:p>
            <w:r/>
            <w:r>
              <w:rPr>
                <w:sz w:val="18"/>
              </w:rPr>
              <w:t>`scripts/PQ-006-builders-render-markdown.py`</w:t>
            </w:r>
          </w:p>
        </w:tc>
        <w:tc>
          <w:tcPr>
            <w:tcW w:type="dxa" w:w="1568"/>
          </w:tcPr>
          <w:p>
            <w:r/>
            <w:r>
              <w:rPr>
                <w:sz w:val="18"/>
              </w:rPr>
              <w:t>A valid `.docx` and a `.xlsx` with the contracted sheets are produced; distinctive Markdown content round-trips.</w:t>
            </w:r>
          </w:p>
        </w:tc>
        <w:tc>
          <w:tcPr>
            <w:tcW w:type="dxa" w:w="1568"/>
          </w:tcPr>
          <w:p>
            <w:r/>
            <w:r>
              <w:rPr>
                <w:sz w:val="18"/>
              </w:rPr>
              <w:t>Both builders render faithfully.</w:t>
            </w:r>
          </w:p>
        </w:tc>
        <w:tc>
          <w:tcPr>
            <w:tcW w:type="dxa" w:w="1568"/>
          </w:tcPr>
          <w:p>
            <w:r/>
            <w:r>
              <w:rPr>
                <w:sz w:val="18"/>
              </w:rPr>
              <w:t>Not-yet-executed here (`python-docx`/`openpyxl` not installed — fails loud; see GPQ-002).</w:t>
            </w:r>
          </w:p>
        </w:tc>
      </w:tr>
      <w:tr>
        <w:tc>
          <w:tcPr>
            <w:tcW w:type="dxa" w:w="1568"/>
          </w:tcPr>
          <w:p>
            <w:r/>
            <w:r>
              <w:rPr>
                <w:b/>
                <w:sz w:val="18"/>
              </w:rPr>
              <w:t>PQ-010</w:t>
            </w:r>
          </w:p>
        </w:tc>
        <w:tc>
          <w:tcPr>
            <w:tcW w:type="dxa" w:w="1568"/>
          </w:tcPr>
          <w:p>
            <w:r/>
            <w:r>
              <w:rPr>
                <w:sz w:val="18"/>
              </w:rPr>
              <w:t>Every generated test-case cites its sources, never an unsourced literal presented as truth. (</w:t>
            </w:r>
            <w:r>
              <w:rPr>
                <w:b/>
                <w:sz w:val="18"/>
              </w:rPr>
              <w:t>URS-010</w:t>
            </w:r>
            <w:r>
              <w:rPr>
                <w:sz w:val="18"/>
              </w:rPr>
              <w:t>)</w:t>
            </w:r>
          </w:p>
        </w:tc>
        <w:tc>
          <w:tcPr>
            <w:tcW w:type="dxa" w:w="1568"/>
          </w:tcPr>
          <w:p>
            <w:r/>
            <w:r>
              <w:rPr>
                <w:sz w:val="18"/>
              </w:rPr>
              <w:t>ParaQualis-authored, pending owner confirmation</w:t>
            </w:r>
          </w:p>
        </w:tc>
        <w:tc>
          <w:tcPr>
            <w:tcW w:type="dxa" w:w="1568"/>
          </w:tcPr>
          <w:p>
            <w:r/>
            <w:r>
              <w:rPr>
                <w:sz w:val="18"/>
              </w:rPr>
              <w:t>Annex 11 cl.4/cl.5; ALCOA+ (Accurate/Attributable)</w:t>
            </w:r>
          </w:p>
        </w:tc>
        <w:tc>
          <w:tcPr>
            <w:tcW w:type="dxa" w:w="1568"/>
          </w:tcPr>
          <w:p>
            <w:r/>
            <w:r>
              <w:rPr>
                <w:sz w:val="18"/>
              </w:rPr>
              <w:t>Automated (structural) + human citation check</w:t>
            </w:r>
          </w:p>
        </w:tc>
        <w:tc>
          <w:tcPr>
            <w:tcW w:type="dxa" w:w="1568"/>
          </w:tcPr>
          <w:p>
            <w:r/>
            <w:r>
              <w:rPr>
                <w:sz w:val="18"/>
              </w:rPr>
              <w:t>`scripts/PQ-010-testcases-cite-sources.py`</w:t>
            </w:r>
          </w:p>
        </w:tc>
        <w:tc>
          <w:tcPr>
            <w:tcW w:type="dxa" w:w="1568"/>
          </w:tcPr>
          <w:p>
            <w:r/>
            <w:r>
              <w:rPr>
                <w:sz w:val="18"/>
              </w:rPr>
              <w:t>Every PQ script traces to a URS and carries source citation(s); human confirms citations resolve.</w:t>
            </w:r>
          </w:p>
        </w:tc>
        <w:tc>
          <w:tcPr>
            <w:tcW w:type="dxa" w:w="1568"/>
          </w:tcPr>
          <w:p>
            <w:r/>
            <w:r>
              <w:rPr>
                <w:sz w:val="18"/>
              </w:rPr>
              <w:t>All test-cases sourced; no unsourced literals.</w:t>
            </w:r>
          </w:p>
        </w:tc>
        <w:tc>
          <w:tcPr>
            <w:tcW w:type="dxa" w:w="1568"/>
          </w:tcPr>
          <w:p>
            <w:r/>
            <w:r>
              <w:rPr>
                <w:sz w:val="18"/>
              </w:rPr>
              <w:t>PASS (structural layer); human citation check pending.</w:t>
            </w:r>
          </w:p>
        </w:tc>
      </w:tr>
      <w:tr>
        <w:tc>
          <w:tcPr>
            <w:tcW w:type="dxa" w:w="1568"/>
          </w:tcPr>
          <w:p>
            <w:r/>
            <w:r>
              <w:rPr>
                <w:b/>
                <w:sz w:val="18"/>
              </w:rPr>
              <w:t>PQ-012</w:t>
            </w:r>
          </w:p>
        </w:tc>
        <w:tc>
          <w:tcPr>
            <w:tcW w:type="dxa" w:w="1568"/>
          </w:tcPr>
          <w:p>
            <w:r/>
            <w:r>
              <w:rPr>
                <w:sz w:val="18"/>
              </w:rPr>
              <w:t>A skipped/unexecuted test is never reported as a pass; the verdict is not inflated. (</w:t>
            </w:r>
            <w:r>
              <w:rPr>
                <w:b/>
                <w:sz w:val="18"/>
              </w:rPr>
              <w:t>URS-012</w:t>
            </w:r>
            <w:r>
              <w:rPr>
                <w:sz w:val="18"/>
              </w:rPr>
              <w:t>)</w:t>
            </w:r>
          </w:p>
        </w:tc>
        <w:tc>
          <w:tcPr>
            <w:tcW w:type="dxa" w:w="1568"/>
          </w:tcPr>
          <w:p>
            <w:r/>
            <w:r>
              <w:rPr>
                <w:sz w:val="18"/>
              </w:rPr>
              <w:t>ParaQualis-authored, pending owner confirmation</w:t>
            </w:r>
          </w:p>
        </w:tc>
        <w:tc>
          <w:tcPr>
            <w:tcW w:type="dxa" w:w="1568"/>
          </w:tcPr>
          <w:p>
            <w:r/>
            <w:r>
              <w:rPr>
                <w:sz w:val="18"/>
              </w:rPr>
              <w:t>ALCOA+ (Accurate); Annex 11 cl.4</w:t>
            </w:r>
          </w:p>
        </w:tc>
        <w:tc>
          <w:tcPr>
            <w:tcW w:type="dxa" w:w="1568"/>
          </w:tcPr>
          <w:p>
            <w:r/>
            <w:r>
              <w:rPr>
                <w:sz w:val="18"/>
              </w:rPr>
              <w:t>Automated (self-check on the pack)</w:t>
            </w:r>
          </w:p>
        </w:tc>
        <w:tc>
          <w:tcPr>
            <w:tcW w:type="dxa" w:w="1568"/>
          </w:tcPr>
          <w:p>
            <w:r/>
            <w:r>
              <w:rPr>
                <w:sz w:val="18"/>
              </w:rPr>
              <w:t>`scripts/PQ-012-no-skip-as-pass.py`</w:t>
            </w:r>
          </w:p>
        </w:tc>
        <w:tc>
          <w:tcPr>
            <w:tcW w:type="dxa" w:w="1568"/>
          </w:tcPr>
          <w:p>
            <w:r/>
            <w:r>
              <w:rPr>
                <w:sz w:val="18"/>
              </w:rPr>
              <w:t>Scripts with a skip path exit non-zero/non-FAIL (2); PQ.md tracks not-yet-executed separately.</w:t>
            </w:r>
          </w:p>
        </w:tc>
        <w:tc>
          <w:tcPr>
            <w:tcW w:type="dxa" w:w="1568"/>
          </w:tcPr>
          <w:p>
            <w:r/>
            <w:r>
              <w:rPr>
                <w:sz w:val="18"/>
              </w:rPr>
              <w:t>No skip counted as pass.</w:t>
            </w:r>
          </w:p>
        </w:tc>
        <w:tc>
          <w:tcPr>
            <w:tcW w:type="dxa" w:w="1568"/>
          </w:tcPr>
          <w:p>
            <w:r/>
            <w:r>
              <w:rPr>
                <w:sz w:val="18"/>
              </w:rPr>
              <w:t>PASS — skip paths exit 2; this verdict separates the three categories.</w:t>
            </w:r>
          </w:p>
        </w:tc>
      </w:tr>
      <w:tr>
        <w:tc>
          <w:tcPr>
            <w:tcW w:type="dxa" w:w="1568"/>
          </w:tcPr>
          <w:p>
            <w:r/>
            <w:r>
              <w:rPr>
                <w:b/>
                <w:sz w:val="18"/>
              </w:rPr>
              <w:t>PQ-013</w:t>
            </w:r>
          </w:p>
        </w:tc>
        <w:tc>
          <w:tcPr>
            <w:tcW w:type="dxa" w:w="1568"/>
          </w:tcPr>
          <w:p>
            <w:r/>
            <w:r>
              <w:rPr>
                <w:sz w:val="18"/>
              </w:rPr>
              <w:t>A failed operation surfaces a clear error and is never swallowed silently. (</w:t>
            </w:r>
            <w:r>
              <w:rPr>
                <w:b/>
                <w:sz w:val="18"/>
              </w:rPr>
              <w:t>URS-013</w:t>
            </w:r>
            <w:r>
              <w:rPr>
                <w:sz w:val="18"/>
              </w:rPr>
              <w:t>)</w:t>
            </w:r>
          </w:p>
        </w:tc>
        <w:tc>
          <w:tcPr>
            <w:tcW w:type="dxa" w:w="1568"/>
          </w:tcPr>
          <w:p>
            <w:r/>
            <w:r>
              <w:rPr>
                <w:sz w:val="18"/>
              </w:rPr>
              <w:t>ParaQualis-authored, pending owner confirmation</w:t>
            </w:r>
          </w:p>
        </w:tc>
        <w:tc>
          <w:tcPr>
            <w:tcW w:type="dxa" w:w="1568"/>
          </w:tcPr>
          <w:p>
            <w:r/>
            <w:r>
              <w:rPr>
                <w:sz w:val="18"/>
              </w:rPr>
              <w:t>Annex 11 cl.9; ALCOA+</w:t>
            </w:r>
          </w:p>
        </w:tc>
        <w:tc>
          <w:tcPr>
            <w:tcW w:type="dxa" w:w="1568"/>
          </w:tcPr>
          <w:p>
            <w:r/>
            <w:r>
              <w:rPr>
                <w:sz w:val="18"/>
              </w:rPr>
              <w:t>Automated (forces failure modes)</w:t>
            </w:r>
          </w:p>
        </w:tc>
        <w:tc>
          <w:tcPr>
            <w:tcW w:type="dxa" w:w="1568"/>
          </w:tcPr>
          <w:p>
            <w:r/>
            <w:r>
              <w:rPr>
                <w:sz w:val="18"/>
              </w:rPr>
              <w:t>`scripts/PQ-013-errors-surface.py`</w:t>
            </w:r>
          </w:p>
        </w:tc>
        <w:tc>
          <w:tcPr>
            <w:tcW w:type="dxa" w:w="1568"/>
          </w:tcPr>
          <w:p>
            <w:r/>
            <w:r>
              <w:rPr>
                <w:sz w:val="18"/>
              </w:rPr>
              <w:t>Invalid category / bad endpoint return a surfaced error or controlled no-match, never a silent success.</w:t>
            </w:r>
          </w:p>
        </w:tc>
        <w:tc>
          <w:tcPr>
            <w:tcW w:type="dxa" w:w="1568"/>
          </w:tcPr>
          <w:p>
            <w:r/>
            <w:r>
              <w:rPr>
                <w:sz w:val="18"/>
              </w:rPr>
              <w:t>All forced failures surface.</w:t>
            </w:r>
          </w:p>
        </w:tc>
        <w:tc>
          <w:tcPr>
            <w:tcW w:type="dxa" w:w="1568"/>
          </w:tcPr>
          <w:p>
            <w:r/>
            <w:r>
              <w:rPr>
                <w:sz w:val="18"/>
              </w:rPr>
              <w:t>Not-yet-executed here (`mcp` not installed; script fails loud on import).</w:t>
            </w:r>
          </w:p>
        </w:tc>
      </w:tr>
      <w:tr>
        <w:tc>
          <w:tcPr>
            <w:tcW w:type="dxa" w:w="1568"/>
          </w:tcPr>
          <w:p>
            <w:r/>
            <w:r>
              <w:rPr>
                <w:b/>
                <w:sz w:val="18"/>
              </w:rPr>
              <w:t>PQ-020</w:t>
            </w:r>
          </w:p>
        </w:tc>
        <w:tc>
          <w:tcPr>
            <w:tcW w:type="dxa" w:w="1568"/>
          </w:tcPr>
          <w:p>
            <w:r/>
            <w:r>
              <w:rPr>
                <w:sz w:val="18"/>
              </w:rPr>
              <w:t>The openFDA API key stays out of the repo and its history in use. (</w:t>
            </w:r>
            <w:r>
              <w:rPr>
                <w:b/>
                <w:sz w:val="18"/>
              </w:rPr>
              <w:t>URS-020</w:t>
            </w:r>
            <w:r>
              <w:rPr>
                <w:sz w:val="18"/>
              </w:rPr>
              <w:t>)</w:t>
            </w:r>
          </w:p>
        </w:tc>
        <w:tc>
          <w:tcPr>
            <w:tcW w:type="dxa" w:w="1568"/>
          </w:tcPr>
          <w:p>
            <w:r/>
            <w:r>
              <w:rPr>
                <w:sz w:val="18"/>
              </w:rPr>
              <w:t>ParaQualis-authored, pending owner confirmation</w:t>
            </w:r>
          </w:p>
        </w:tc>
        <w:tc>
          <w:tcPr>
            <w:tcW w:type="dxa" w:w="1568"/>
          </w:tcPr>
          <w:p>
            <w:r/>
            <w:r>
              <w:rPr>
                <w:sz w:val="18"/>
              </w:rPr>
              <w:t>21 CFR Part 11 §11.10(d); Annex 11 cl.12</w:t>
            </w:r>
          </w:p>
        </w:tc>
        <w:tc>
          <w:tcPr>
            <w:tcW w:type="dxa" w:w="1568"/>
          </w:tcPr>
          <w:p>
            <w:r/>
            <w:r>
              <w:rPr>
                <w:sz w:val="18"/>
              </w:rPr>
              <w:t>Automated (working tree + history)</w:t>
            </w:r>
          </w:p>
        </w:tc>
        <w:tc>
          <w:tcPr>
            <w:tcW w:type="dxa" w:w="1568"/>
          </w:tcPr>
          <w:p>
            <w:r/>
            <w:r>
              <w:rPr>
                <w:sz w:val="18"/>
              </w:rPr>
              <w:t>`scripts/PQ-020-secrets-not-committed.sh`</w:t>
            </w:r>
          </w:p>
        </w:tc>
        <w:tc>
          <w:tcPr>
            <w:tcW w:type="dxa" w:w="1568"/>
          </w:tcPr>
          <w:p>
            <w:r/>
            <w:r>
              <w:rPr>
                <w:sz w:val="18"/>
              </w:rPr>
              <w:t>`.env` git-ignored; only `.env.example` placeholder tracked; no real key in any tracked file or history.</w:t>
            </w:r>
          </w:p>
        </w:tc>
        <w:tc>
          <w:tcPr>
            <w:tcW w:type="dxa" w:w="1568"/>
          </w:tcPr>
          <w:p>
            <w:r/>
            <w:r>
              <w:rPr>
                <w:sz w:val="18"/>
              </w:rPr>
              <w:t>No secret in repo or history.</w:t>
            </w:r>
          </w:p>
        </w:tc>
        <w:tc>
          <w:tcPr>
            <w:tcW w:type="dxa" w:w="1568"/>
          </w:tcPr>
          <w:p>
            <w:r/>
            <w:r>
              <w:rPr>
                <w:sz w:val="18"/>
              </w:rPr>
              <w:t>PASS — `.env` ignored, only placeholder tracked, no key in history.</w:t>
            </w:r>
          </w:p>
        </w:tc>
      </w:tr>
      <w:tr>
        <w:tc>
          <w:tcPr>
            <w:tcW w:type="dxa" w:w="1568"/>
          </w:tcPr>
          <w:p>
            <w:r/>
            <w:r>
              <w:rPr>
                <w:b/>
                <w:sz w:val="18"/>
              </w:rPr>
              <w:t>PQ-021</w:t>
            </w:r>
          </w:p>
        </w:tc>
        <w:tc>
          <w:tcPr>
            <w:tcW w:type="dxa" w:w="1568"/>
          </w:tcPr>
          <w:p>
            <w:r/>
            <w:r>
              <w:rPr>
                <w:sz w:val="18"/>
              </w:rPr>
              <w:t>Sub-agents are read-only and pack writes are confined to `Qualification/`. (</w:t>
            </w:r>
            <w:r>
              <w:rPr>
                <w:b/>
                <w:sz w:val="18"/>
              </w:rPr>
              <w:t>URS-021</w:t>
            </w:r>
            <w:r>
              <w:rPr>
                <w:sz w:val="18"/>
              </w:rPr>
              <w:t>)</w:t>
            </w:r>
          </w:p>
        </w:tc>
        <w:tc>
          <w:tcPr>
            <w:tcW w:type="dxa" w:w="1568"/>
          </w:tcPr>
          <w:p>
            <w:r/>
            <w:r>
              <w:rPr>
                <w:sz w:val="18"/>
              </w:rPr>
              <w:t>ParaQualis-authored, pending owner confirmation</w:t>
            </w:r>
          </w:p>
        </w:tc>
        <w:tc>
          <w:tcPr>
            <w:tcW w:type="dxa" w:w="1568"/>
          </w:tcPr>
          <w:p>
            <w:r/>
            <w:r>
              <w:rPr>
                <w:sz w:val="18"/>
              </w:rPr>
              <w:t>Annex 11 cl.12 (access control)</w:t>
            </w:r>
          </w:p>
        </w:tc>
        <w:tc>
          <w:tcPr>
            <w:tcW w:type="dxa" w:w="1568"/>
          </w:tcPr>
          <w:p>
            <w:r/>
            <w:r>
              <w:rPr>
                <w:sz w:val="18"/>
              </w:rPr>
              <w:t>Automated (as-built config)</w:t>
            </w:r>
          </w:p>
        </w:tc>
        <w:tc>
          <w:tcPr>
            <w:tcW w:type="dxa" w:w="1568"/>
          </w:tcPr>
          <w:p>
            <w:r/>
            <w:r>
              <w:rPr>
                <w:sz w:val="18"/>
              </w:rPr>
              <w:t>`scripts/PQ-021-least-privilege-write-confinement.sh`</w:t>
            </w:r>
          </w:p>
        </w:tc>
        <w:tc>
          <w:tcPr>
            <w:tcW w:type="dxa" w:w="1568"/>
          </w:tcPr>
          <w:p>
            <w:r/>
            <w:r>
              <w:rPr>
                <w:sz w:val="18"/>
              </w:rPr>
              <w:t>Each sub-agent declares only Read/Grep/Glob/Bash; build command confines writes.</w:t>
            </w:r>
          </w:p>
        </w:tc>
        <w:tc>
          <w:tcPr>
            <w:tcW w:type="dxa" w:w="1568"/>
          </w:tcPr>
          <w:p>
            <w:r/>
            <w:r>
              <w:rPr>
                <w:sz w:val="18"/>
              </w:rPr>
              <w:t>Read-only agents; confined writes.</w:t>
            </w:r>
          </w:p>
        </w:tc>
        <w:tc>
          <w:tcPr>
            <w:tcW w:type="dxa" w:w="1568"/>
          </w:tcPr>
          <w:p>
            <w:r/>
            <w:r>
              <w:rPr>
                <w:sz w:val="18"/>
              </w:rPr>
              <w:t>PASS — all three agents read-only; build command confines to `Qualification/`.</w:t>
            </w:r>
          </w:p>
        </w:tc>
      </w:tr>
      <w:tr>
        <w:tc>
          <w:tcPr>
            <w:tcW w:type="dxa" w:w="1568"/>
          </w:tcPr>
          <w:p>
            <w:r/>
            <w:r>
              <w:rPr>
                <w:b/>
                <w:sz w:val="18"/>
              </w:rPr>
              <w:t>PQ-030</w:t>
            </w:r>
          </w:p>
        </w:tc>
        <w:tc>
          <w:tcPr>
            <w:tcW w:type="dxa" w:w="1568"/>
          </w:tcPr>
          <w:p>
            <w:r/>
            <w:r>
              <w:rPr>
                <w:sz w:val="18"/>
              </w:rPr>
              <w:t>Every generated test-case carries a blank, structured execution-record block. (</w:t>
            </w:r>
            <w:r>
              <w:rPr>
                <w:b/>
                <w:sz w:val="18"/>
              </w:rPr>
              <w:t>URS-030</w:t>
            </w:r>
            <w:r>
              <w:rPr>
                <w:sz w:val="18"/>
              </w:rPr>
              <w:t>)</w:t>
            </w:r>
          </w:p>
        </w:tc>
        <w:tc>
          <w:tcPr>
            <w:tcW w:type="dxa" w:w="1568"/>
          </w:tcPr>
          <w:p>
            <w:r/>
            <w:r>
              <w:rPr>
                <w:sz w:val="18"/>
              </w:rPr>
              <w:t>ParaQualis-authored, pending owner confirmation</w:t>
            </w:r>
          </w:p>
        </w:tc>
        <w:tc>
          <w:tcPr>
            <w:tcW w:type="dxa" w:w="1568"/>
          </w:tcPr>
          <w:p>
            <w:r/>
            <w:r>
              <w:rPr>
                <w:sz w:val="18"/>
              </w:rPr>
              <w:t>21 CFR Part 11 §11.10(e); Annex 11 cl.9</w:t>
            </w:r>
          </w:p>
        </w:tc>
        <w:tc>
          <w:tcPr>
            <w:tcW w:type="dxa" w:w="1568"/>
          </w:tcPr>
          <w:p>
            <w:r/>
            <w:r>
              <w:rPr>
                <w:sz w:val="18"/>
              </w:rPr>
              <w:t>Automated (pack inspection)</w:t>
            </w:r>
          </w:p>
        </w:tc>
        <w:tc>
          <w:tcPr>
            <w:tcW w:type="dxa" w:w="1568"/>
          </w:tcPr>
          <w:p>
            <w:r/>
            <w:r>
              <w:rPr>
                <w:sz w:val="18"/>
              </w:rPr>
              <w:t>`scripts/PQ-030-execution-record-block.py`</w:t>
            </w:r>
          </w:p>
        </w:tc>
        <w:tc>
          <w:tcPr>
            <w:tcW w:type="dxa" w:w="1568"/>
          </w:tcPr>
          <w:p>
            <w:r/>
            <w:r>
              <w:rPr>
                <w:sz w:val="18"/>
              </w:rPr>
              <w:t>Every manual procedure and PQ.md carry the execution-record fields, blank until executed.</w:t>
            </w:r>
          </w:p>
        </w:tc>
        <w:tc>
          <w:tcPr>
            <w:tcW w:type="dxa" w:w="1568"/>
          </w:tcPr>
          <w:p>
            <w:r/>
            <w:r>
              <w:rPr>
                <w:sz w:val="18"/>
              </w:rPr>
              <w:t>Blank record block on every test-case.</w:t>
            </w:r>
          </w:p>
        </w:tc>
        <w:tc>
          <w:tcPr>
            <w:tcW w:type="dxa" w:w="1568"/>
          </w:tcPr>
          <w:p>
            <w:r/>
            <w:r>
              <w:rPr>
                <w:sz w:val="18"/>
              </w:rPr>
              <w:t>PASS (manual procedures); PQ.md confirmed at re-run.</w:t>
            </w:r>
          </w:p>
        </w:tc>
      </w:tr>
      <w:tr>
        <w:tc>
          <w:tcPr>
            <w:tcW w:type="dxa" w:w="1568"/>
          </w:tcPr>
          <w:p>
            <w:r/>
            <w:r>
              <w:rPr>
                <w:b/>
                <w:sz w:val="18"/>
              </w:rPr>
              <w:t>PQ-031</w:t>
            </w:r>
          </w:p>
        </w:tc>
        <w:tc>
          <w:tcPr>
            <w:tcW w:type="dxa" w:w="1568"/>
          </w:tcPr>
          <w:p>
            <w:r/>
            <w:r>
              <w:rPr>
                <w:sz w:val="18"/>
              </w:rPr>
              <w:t>Server processes log material actions/failures server-side, not only in the transcript. (</w:t>
            </w:r>
            <w:r>
              <w:rPr>
                <w:b/>
                <w:sz w:val="18"/>
              </w:rPr>
              <w:t>URS-031</w:t>
            </w:r>
            <w:r>
              <w:rPr>
                <w:sz w:val="18"/>
              </w:rPr>
              <w:t>)</w:t>
            </w:r>
          </w:p>
        </w:tc>
        <w:tc>
          <w:tcPr>
            <w:tcW w:type="dxa" w:w="1568"/>
          </w:tcPr>
          <w:p>
            <w:r/>
            <w:r>
              <w:rPr>
                <w:sz w:val="18"/>
              </w:rPr>
              <w:t>ParaQualis-authored, pending owner confirmation</w:t>
            </w:r>
          </w:p>
        </w:tc>
        <w:tc>
          <w:tcPr>
            <w:tcW w:type="dxa" w:w="1568"/>
          </w:tcPr>
          <w:p>
            <w:r/>
            <w:r>
              <w:rPr>
                <w:sz w:val="18"/>
              </w:rPr>
              <w:t>Annex 11 cl.9</w:t>
            </w:r>
          </w:p>
        </w:tc>
        <w:tc>
          <w:tcPr>
            <w:tcW w:type="dxa" w:w="1568"/>
          </w:tcPr>
          <w:p>
            <w:r/>
            <w:r>
              <w:rPr>
                <w:sz w:val="18"/>
              </w:rPr>
              <w:t>Automated (process inspection)</w:t>
            </w:r>
          </w:p>
        </w:tc>
        <w:tc>
          <w:tcPr>
            <w:tcW w:type="dxa" w:w="1568"/>
          </w:tcPr>
          <w:p>
            <w:r/>
            <w:r>
              <w:rPr>
                <w:sz w:val="18"/>
              </w:rPr>
              <w:t>`scripts/PQ-031-server-process-logging.py`</w:t>
            </w:r>
          </w:p>
        </w:tc>
        <w:tc>
          <w:tcPr>
            <w:tcW w:type="dxa" w:w="1568"/>
          </w:tcPr>
          <w:p>
            <w:r/>
            <w:r>
              <w:rPr>
                <w:sz w:val="18"/>
              </w:rPr>
              <w:t>The MCP server and hook emit a server-side log facility for material operations/denials.</w:t>
            </w:r>
          </w:p>
        </w:tc>
        <w:tc>
          <w:tcPr>
            <w:tcW w:type="dxa" w:w="1568"/>
          </w:tcPr>
          <w:p>
            <w:r/>
            <w:r>
              <w:rPr>
                <w:sz w:val="18"/>
              </w:rPr>
              <w:t>Server-side log present.</w:t>
            </w:r>
          </w:p>
        </w:tc>
        <w:tc>
          <w:tcPr>
            <w:tcW w:type="dxa" w:w="1568"/>
          </w:tcPr>
          <w:p>
            <w:r/>
            <w:r>
              <w:rPr>
                <w:b/>
                <w:sz w:val="18"/>
              </w:rPr>
              <w:t>PASS (re-run 2026-06-17)</w:t>
            </w:r>
            <w:r>
              <w:rPr>
                <w:sz w:val="18"/>
              </w:rPr>
              <w:t xml:space="preserve"> — `server.py` and the hook now log to stderr; the PQ-031 script confirms. GIQ-007 closed.</w:t>
            </w:r>
          </w:p>
        </w:tc>
      </w:tr>
      <w:tr>
        <w:tc>
          <w:tcPr>
            <w:tcW w:type="dxa" w:w="1568"/>
          </w:tcPr>
          <w:p>
            <w:r/>
            <w:r>
              <w:rPr>
                <w:b/>
                <w:sz w:val="18"/>
              </w:rPr>
              <w:t>PQ-040</w:t>
            </w:r>
          </w:p>
        </w:tc>
        <w:tc>
          <w:tcPr>
            <w:tcW w:type="dxa" w:w="1568"/>
          </w:tcPr>
          <w:p>
            <w:r/>
            <w:r>
              <w:rPr>
                <w:sz w:val="18"/>
              </w:rPr>
              <w:t>The protection hook refuses edits to an approved (locked) file while allowing an unmarked file. (</w:t>
            </w:r>
            <w:r>
              <w:rPr>
                <w:b/>
                <w:sz w:val="18"/>
              </w:rPr>
              <w:t>URS-040</w:t>
            </w:r>
            <w:r>
              <w:rPr>
                <w:sz w:val="18"/>
              </w:rPr>
              <w:t>)</w:t>
            </w:r>
          </w:p>
        </w:tc>
        <w:tc>
          <w:tcPr>
            <w:tcW w:type="dxa" w:w="1568"/>
          </w:tcPr>
          <w:p>
            <w:r/>
            <w:r>
              <w:rPr>
                <w:sz w:val="18"/>
              </w:rPr>
              <w:t>ParaQualis-authored, pending owner confirmation</w:t>
            </w:r>
          </w:p>
        </w:tc>
        <w:tc>
          <w:tcPr>
            <w:tcW w:type="dxa" w:w="1568"/>
          </w:tcPr>
          <w:p>
            <w:r/>
            <w:r>
              <w:rPr>
                <w:sz w:val="18"/>
              </w:rPr>
              <w:t>21 CFR Part 11 §11.10(a),(c); Annex 11 cl.14</w:t>
            </w:r>
          </w:p>
        </w:tc>
        <w:tc>
          <w:tcPr>
            <w:tcW w:type="dxa" w:w="1568"/>
          </w:tcPr>
          <w:p>
            <w:r/>
            <w:r>
              <w:rPr>
                <w:sz w:val="18"/>
              </w:rPr>
              <w:t>Automated (drives the real hook, temp files)</w:t>
            </w:r>
          </w:p>
        </w:tc>
        <w:tc>
          <w:tcPr>
            <w:tcW w:type="dxa" w:w="1568"/>
          </w:tcPr>
          <w:p>
            <w:r/>
            <w:r>
              <w:rPr>
                <w:sz w:val="18"/>
              </w:rPr>
              <w:t>`scripts/PQ-040-lock-hook-refuses-approved-edit.sh`</w:t>
            </w:r>
          </w:p>
        </w:tc>
        <w:tc>
          <w:tcPr>
            <w:tcW w:type="dxa" w:w="1568"/>
          </w:tcPr>
          <w:p>
            <w:r/>
            <w:r>
              <w:rPr>
                <w:sz w:val="18"/>
              </w:rPr>
              <w:t>Locked file blocked (exit 2) with a clear message; unmarked file allowed (exit 0).</w:t>
            </w:r>
          </w:p>
        </w:tc>
        <w:tc>
          <w:tcPr>
            <w:tcW w:type="dxa" w:w="1568"/>
          </w:tcPr>
          <w:p>
            <w:r/>
            <w:r>
              <w:rPr>
                <w:sz w:val="18"/>
              </w:rPr>
              <w:t>Locked refused; unmarked editable.</w:t>
            </w:r>
          </w:p>
        </w:tc>
        <w:tc>
          <w:tcPr>
            <w:tcW w:type="dxa" w:w="1568"/>
          </w:tcPr>
          <w:p>
            <w:r/>
            <w:r>
              <w:rPr>
                <w:sz w:val="18"/>
              </w:rPr>
              <w:t>PASS — locked blocked with reason; unmarked allowed.</w:t>
            </w:r>
          </w:p>
        </w:tc>
      </w:tr>
      <w:tr>
        <w:tc>
          <w:tcPr>
            <w:tcW w:type="dxa" w:w="1568"/>
          </w:tcPr>
          <w:p>
            <w:r/>
            <w:r>
              <w:rPr>
                <w:b/>
                <w:sz w:val="18"/>
              </w:rPr>
              <w:t>PQ-041</w:t>
            </w:r>
          </w:p>
        </w:tc>
        <w:tc>
          <w:tcPr>
            <w:tcW w:type="dxa" w:w="1568"/>
          </w:tcPr>
          <w:p>
            <w:r/>
            <w:r>
              <w:rPr>
                <w:sz w:val="18"/>
              </w:rPr>
              <w:t>Every pack document carries the unsigned approval block + DRAFT stamp. (</w:t>
            </w:r>
            <w:r>
              <w:rPr>
                <w:b/>
                <w:sz w:val="18"/>
              </w:rPr>
              <w:t>URS-041</w:t>
            </w:r>
            <w:r>
              <w:rPr>
                <w:sz w:val="18"/>
              </w:rPr>
              <w:t>)</w:t>
            </w:r>
          </w:p>
        </w:tc>
        <w:tc>
          <w:tcPr>
            <w:tcW w:type="dxa" w:w="1568"/>
          </w:tcPr>
          <w:p>
            <w:r/>
            <w:r>
              <w:rPr>
                <w:sz w:val="18"/>
              </w:rPr>
              <w:t>ParaQualis-authored, pending owner confirmation</w:t>
            </w:r>
          </w:p>
        </w:tc>
        <w:tc>
          <w:tcPr>
            <w:tcW w:type="dxa" w:w="1568"/>
          </w:tcPr>
          <w:p>
            <w:r/>
            <w:r>
              <w:rPr>
                <w:sz w:val="18"/>
              </w:rPr>
              <w:t>21 CFR Part 11 §11.50/§11.70; Annex 11 cl.14</w:t>
            </w:r>
          </w:p>
        </w:tc>
        <w:tc>
          <w:tcPr>
            <w:tcW w:type="dxa" w:w="1568"/>
          </w:tcPr>
          <w:p>
            <w:r/>
            <w:r>
              <w:rPr>
                <w:sz w:val="18"/>
              </w:rPr>
              <w:t>Automated (pack inspection)</w:t>
            </w:r>
          </w:p>
        </w:tc>
        <w:tc>
          <w:tcPr>
            <w:tcW w:type="dxa" w:w="1568"/>
          </w:tcPr>
          <w:p>
            <w:r/>
            <w:r>
              <w:rPr>
                <w:sz w:val="18"/>
              </w:rPr>
              <w:t>`scripts/PQ-041-pack-approval-block-draft.py`</w:t>
            </w:r>
          </w:p>
        </w:tc>
        <w:tc>
          <w:tcPr>
            <w:tcW w:type="dxa" w:w="1568"/>
          </w:tcPr>
          <w:p>
            <w:r/>
            <w:r>
              <w:rPr>
                <w:sz w:val="18"/>
              </w:rPr>
              <w:t>Each pack `.md` shows the DRAFT stamp and unsigned Author/Reviewer/QA Approver lines.</w:t>
            </w:r>
          </w:p>
        </w:tc>
        <w:tc>
          <w:tcPr>
            <w:tcW w:type="dxa" w:w="1568"/>
          </w:tcPr>
          <w:p>
            <w:r/>
            <w:r>
              <w:rPr>
                <w:sz w:val="18"/>
              </w:rPr>
              <w:t>DRAFT + unsigned block on every doc.</w:t>
            </w:r>
          </w:p>
        </w:tc>
        <w:tc>
          <w:tcPr>
            <w:tcW w:type="dxa" w:w="1568"/>
          </w:tcPr>
          <w:p>
            <w:r/>
            <w:r>
              <w:rPr>
                <w:sz w:val="18"/>
              </w:rPr>
              <w:t>PASS — URS confirmed; PQ.md confirmed at re-run.</w:t>
            </w:r>
          </w:p>
        </w:tc>
      </w:tr>
      <w:tr>
        <w:tc>
          <w:tcPr>
            <w:tcW w:type="dxa" w:w="1568"/>
          </w:tcPr>
          <w:p>
            <w:r/>
            <w:r>
              <w:rPr>
                <w:b/>
                <w:sz w:val="18"/>
              </w:rPr>
              <w:t>PQ-AI-050</w:t>
            </w:r>
          </w:p>
        </w:tc>
        <w:tc>
          <w:tcPr>
            <w:tcW w:type="dxa" w:w="1568"/>
          </w:tcPr>
          <w:p>
            <w:r/>
            <w:r>
              <w:rPr>
                <w:sz w:val="18"/>
              </w:rPr>
              <w:t>AI-generated claims are traceable to cited evidence; no hallucinated pass/fail. (</w:t>
            </w:r>
            <w:r>
              <w:rPr>
                <w:b/>
                <w:sz w:val="18"/>
              </w:rPr>
              <w:t>URS-AI-050</w:t>
            </w:r>
            <w:r>
              <w:rPr>
                <w:sz w:val="18"/>
              </w:rPr>
              <w:t>)</w:t>
            </w:r>
          </w:p>
        </w:tc>
        <w:tc>
          <w:tcPr>
            <w:tcW w:type="dxa" w:w="1568"/>
          </w:tcPr>
          <w:p>
            <w:r/>
            <w:r>
              <w:rPr>
                <w:sz w:val="18"/>
              </w:rPr>
              <w:t>ParaQualis-authored, pending owner confirmation</w:t>
            </w:r>
          </w:p>
        </w:tc>
        <w:tc>
          <w:tcPr>
            <w:tcW w:type="dxa" w:w="1568"/>
          </w:tcPr>
          <w:p>
            <w:r/>
            <w:r>
              <w:rPr>
                <w:sz w:val="18"/>
              </w:rPr>
              <w:t>ISPE GAMP AI; FDA AI credibility framework; ALCOA+</w:t>
            </w:r>
          </w:p>
        </w:tc>
        <w:tc>
          <w:tcPr>
            <w:tcW w:type="dxa" w:w="1568"/>
          </w:tcPr>
          <w:p>
            <w:r/>
            <w:r>
              <w:rPr>
                <w:sz w:val="18"/>
              </w:rPr>
              <w:t>Automated (structural) + human verification</w:t>
            </w:r>
          </w:p>
        </w:tc>
        <w:tc>
          <w:tcPr>
            <w:tcW w:type="dxa" w:w="1568"/>
          </w:tcPr>
          <w:p>
            <w:r/>
            <w:r>
              <w:rPr>
                <w:sz w:val="18"/>
              </w:rPr>
              <w:t>`scripts/PQ-AI-050-claims-traceable-evidence.py`</w:t>
            </w:r>
          </w:p>
        </w:tc>
        <w:tc>
          <w:tcPr>
            <w:tcW w:type="dxa" w:w="1568"/>
          </w:tcPr>
          <w:p>
            <w:r/>
            <w:r>
              <w:rPr>
                <w:sz w:val="18"/>
              </w:rPr>
              <w:t>Every PQ test-case has a URS trace AND a test artifact; results left not-yet-executed (no pre-asserted verdicts); human confirms citations resolve.</w:t>
            </w:r>
          </w:p>
        </w:tc>
        <w:tc>
          <w:tcPr>
            <w:tcW w:type="dxa" w:w="1568"/>
          </w:tcPr>
          <w:p>
            <w:r/>
            <w:r>
              <w:rPr>
                <w:sz w:val="18"/>
              </w:rPr>
              <w:t>Every claim evidence-backed; unsupported-claim rate = 0 (threshold to be confirmed).</w:t>
            </w:r>
          </w:p>
        </w:tc>
        <w:tc>
          <w:tcPr>
            <w:tcW w:type="dxa" w:w="1568"/>
          </w:tcPr>
          <w:p>
            <w:r/>
            <w:r>
              <w:rPr>
                <w:sz w:val="18"/>
              </w:rPr>
              <w:t>PASS (structural) at re-run; human verification pending.</w:t>
            </w:r>
          </w:p>
        </w:tc>
      </w:tr>
      <w:tr>
        <w:tc>
          <w:tcPr>
            <w:tcW w:type="dxa" w:w="1568"/>
          </w:tcPr>
          <w:p>
            <w:r/>
            <w:r>
              <w:rPr>
                <w:b/>
                <w:sz w:val="18"/>
              </w:rPr>
              <w:t>PQ-AI-051</w:t>
            </w:r>
          </w:p>
        </w:tc>
        <w:tc>
          <w:tcPr>
            <w:tcW w:type="dxa" w:w="1568"/>
          </w:tcPr>
          <w:p>
            <w:r/>
            <w:r>
              <w:rPr>
                <w:sz w:val="18"/>
              </w:rPr>
              <w:t>AI output is issued DRAFT and names the required human reviewer roles (human-in-the-loop). (</w:t>
            </w:r>
            <w:r>
              <w:rPr>
                <w:b/>
                <w:sz w:val="18"/>
              </w:rPr>
              <w:t>URS-AI-051</w:t>
            </w:r>
            <w:r>
              <w:rPr>
                <w:sz w:val="18"/>
              </w:rPr>
              <w:t>)</w:t>
            </w:r>
          </w:p>
        </w:tc>
        <w:tc>
          <w:tcPr>
            <w:tcW w:type="dxa" w:w="1568"/>
          </w:tcPr>
          <w:p>
            <w:r/>
            <w:r>
              <w:rPr>
                <w:sz w:val="18"/>
              </w:rPr>
              <w:t>ParaQualis-authored, pending owner confirmation</w:t>
            </w:r>
          </w:p>
        </w:tc>
        <w:tc>
          <w:tcPr>
            <w:tcW w:type="dxa" w:w="1568"/>
          </w:tcPr>
          <w:p>
            <w:r/>
            <w:r>
              <w:rPr>
                <w:sz w:val="18"/>
              </w:rPr>
              <w:t>ISPE GAMP AI; EU draft Annex 22; Annex 11 cl.1</w:t>
            </w:r>
          </w:p>
        </w:tc>
        <w:tc>
          <w:tcPr>
            <w:tcW w:type="dxa" w:w="1568"/>
          </w:tcPr>
          <w:p>
            <w:r/>
            <w:r>
              <w:rPr>
                <w:sz w:val="18"/>
              </w:rPr>
              <w:t>Automated (pack inspection)</w:t>
            </w:r>
          </w:p>
        </w:tc>
        <w:tc>
          <w:tcPr>
            <w:tcW w:type="dxa" w:w="1568"/>
          </w:tcPr>
          <w:p>
            <w:r/>
            <w:r>
              <w:rPr>
                <w:sz w:val="18"/>
              </w:rPr>
              <w:t>`scripts/PQ-AI-051-draft-human-oversight.py`</w:t>
            </w:r>
          </w:p>
        </w:tc>
        <w:tc>
          <w:tcPr>
            <w:tcW w:type="dxa" w:w="1568"/>
          </w:tcPr>
          <w:p>
            <w:r/>
            <w:r>
              <w:rPr>
                <w:sz w:val="18"/>
              </w:rPr>
              <w:t>Pack is DRAFT-stamped, names Reviewer + QA Approver, states human-review-before-reliance.</w:t>
            </w:r>
          </w:p>
        </w:tc>
        <w:tc>
          <w:tcPr>
            <w:tcW w:type="dxa" w:w="1568"/>
          </w:tcPr>
          <w:p>
            <w:r/>
            <w:r>
              <w:rPr>
                <w:sz w:val="18"/>
              </w:rPr>
              <w:t>DRAFT + named human oversight.</w:t>
            </w:r>
          </w:p>
        </w:tc>
        <w:tc>
          <w:tcPr>
            <w:tcW w:type="dxa" w:w="1568"/>
          </w:tcPr>
          <w:p>
            <w:r/>
            <w:r>
              <w:rPr>
                <w:sz w:val="18"/>
              </w:rPr>
              <w:t>PASS at re-run.</w:t>
            </w:r>
          </w:p>
        </w:tc>
      </w:tr>
      <w:tr>
        <w:tc>
          <w:tcPr>
            <w:tcW w:type="dxa" w:w="1568"/>
          </w:tcPr>
          <w:p>
            <w:r/>
            <w:r>
              <w:rPr>
                <w:b/>
                <w:sz w:val="18"/>
              </w:rPr>
              <w:t>PQ-AI-052</w:t>
            </w:r>
          </w:p>
        </w:tc>
        <w:tc>
          <w:tcPr>
            <w:tcW w:type="dxa" w:w="1568"/>
          </w:tcPr>
          <w:p>
            <w:r/>
            <w:r>
              <w:rPr>
                <w:sz w:val="18"/>
              </w:rPr>
              <w:t>The engine discloses its Context of Use and the self-qualification caveat. (</w:t>
            </w:r>
            <w:r>
              <w:rPr>
                <w:b/>
                <w:sz w:val="18"/>
              </w:rPr>
              <w:t>URS-AI-052</w:t>
            </w:r>
            <w:r>
              <w:rPr>
                <w:sz w:val="18"/>
              </w:rPr>
              <w:t>)</w:t>
            </w:r>
          </w:p>
        </w:tc>
        <w:tc>
          <w:tcPr>
            <w:tcW w:type="dxa" w:w="1568"/>
          </w:tcPr>
          <w:p>
            <w:r/>
            <w:r>
              <w:rPr>
                <w:sz w:val="18"/>
              </w:rPr>
              <w:t>ParaQualis-authored, pending owner confirmation</w:t>
            </w:r>
          </w:p>
        </w:tc>
        <w:tc>
          <w:tcPr>
            <w:tcW w:type="dxa" w:w="1568"/>
          </w:tcPr>
          <w:p>
            <w:r/>
            <w:r>
              <w:rPr>
                <w:sz w:val="18"/>
              </w:rPr>
              <w:t>FDA AI credibility framework (COU); ISPE GAMP AI</w:t>
            </w:r>
          </w:p>
        </w:tc>
        <w:tc>
          <w:tcPr>
            <w:tcW w:type="dxa" w:w="1568"/>
          </w:tcPr>
          <w:p>
            <w:r/>
            <w:r>
              <w:rPr>
                <w:sz w:val="18"/>
              </w:rPr>
              <w:t>Automated (pack inspection)</w:t>
            </w:r>
          </w:p>
        </w:tc>
        <w:tc>
          <w:tcPr>
            <w:tcW w:type="dxa" w:w="1568"/>
          </w:tcPr>
          <w:p>
            <w:r/>
            <w:r>
              <w:rPr>
                <w:sz w:val="18"/>
              </w:rPr>
              <w:t>`scripts/PQ-AI-052-context-of-use-self-qual.py`</w:t>
            </w:r>
          </w:p>
        </w:tc>
        <w:tc>
          <w:tcPr>
            <w:tcW w:type="dxa" w:w="1568"/>
          </w:tcPr>
          <w:p>
            <w:r/>
            <w:r>
              <w:rPr>
                <w:sz w:val="18"/>
              </w:rPr>
              <w:t>Pack governance states the COU and the self-qualification/does-not-self-certify caveat.</w:t>
            </w:r>
          </w:p>
        </w:tc>
        <w:tc>
          <w:tcPr>
            <w:tcW w:type="dxa" w:w="1568"/>
          </w:tcPr>
          <w:p>
            <w:r/>
            <w:r>
              <w:rPr>
                <w:sz w:val="18"/>
              </w:rPr>
              <w:t>COU + caveat disclosed.</w:t>
            </w:r>
          </w:p>
        </w:tc>
        <w:tc>
          <w:tcPr>
            <w:tcW w:type="dxa" w:w="1568"/>
          </w:tcPr>
          <w:p>
            <w:r/>
            <w:r>
              <w:rPr>
                <w:sz w:val="18"/>
              </w:rPr>
              <w:t>PASS at re-run (§2 above states both).</w:t>
            </w:r>
          </w:p>
        </w:tc>
      </w:tr>
      <w:tr>
        <w:tc>
          <w:tcPr>
            <w:tcW w:type="dxa" w:w="1568"/>
          </w:tcPr>
          <w:p>
            <w:r/>
            <w:r>
              <w:rPr>
                <w:b/>
                <w:sz w:val="18"/>
              </w:rPr>
              <w:t>PQ-AI-053</w:t>
            </w:r>
          </w:p>
        </w:tc>
        <w:tc>
          <w:tcPr>
            <w:tcW w:type="dxa" w:w="1568"/>
          </w:tcPr>
          <w:p>
            <w:r/>
            <w:r>
              <w:rPr>
                <w:sz w:val="18"/>
              </w:rPr>
              <w:t>AI generation is consistent — same inputs yield materially equivalent coverage. (</w:t>
            </w:r>
            <w:r>
              <w:rPr>
                <w:b/>
                <w:sz w:val="18"/>
              </w:rPr>
              <w:t>URS-AI-053</w:t>
            </w:r>
            <w:r>
              <w:rPr>
                <w:sz w:val="18"/>
              </w:rPr>
              <w:t>)</w:t>
            </w:r>
          </w:p>
        </w:tc>
        <w:tc>
          <w:tcPr>
            <w:tcW w:type="dxa" w:w="1568"/>
          </w:tcPr>
          <w:p>
            <w:r/>
            <w:r>
              <w:rPr>
                <w:sz w:val="18"/>
              </w:rPr>
              <w:t>ParaQualis-authored, pending owner confirmation</w:t>
            </w:r>
          </w:p>
        </w:tc>
        <w:tc>
          <w:tcPr>
            <w:tcW w:type="dxa" w:w="1568"/>
          </w:tcPr>
          <w:p>
            <w:r/>
            <w:r>
              <w:rPr>
                <w:sz w:val="18"/>
              </w:rPr>
              <w:t>ISPE GAMP AI (consistency); EU draft Annex 22</w:t>
            </w:r>
          </w:p>
        </w:tc>
        <w:tc>
          <w:tcPr>
            <w:tcW w:type="dxa" w:w="1568"/>
          </w:tcPr>
          <w:p>
            <w:r/>
            <w:r>
              <w:rPr>
                <w:sz w:val="18"/>
              </w:rPr>
              <w:t>Manual / semi-automated (repeated live runs)</w:t>
            </w:r>
          </w:p>
        </w:tc>
        <w:tc>
          <w:tcPr>
            <w:tcW w:type="dxa" w:w="1568"/>
          </w:tcPr>
          <w:p>
            <w:r/>
            <w:r>
              <w:rPr>
                <w:sz w:val="18"/>
              </w:rPr>
              <w:t>`scripts/PQ-AI-053-consistency-test.md`</w:t>
            </w:r>
          </w:p>
        </w:tc>
        <w:tc>
          <w:tcPr>
            <w:tcW w:type="dxa" w:w="1568"/>
          </w:tcPr>
          <w:p>
            <w:r/>
            <w:r>
              <w:rPr>
                <w:sz w:val="18"/>
              </w:rPr>
              <w:t xml:space="preserve">Min pairwise coverage ≥ the </w:t>
            </w:r>
            <w:r>
              <w:rPr>
                <w:b/>
                <w:sz w:val="18"/>
              </w:rPr>
              <w:t>approved threshold (to be defined and approved)</w:t>
            </w:r>
            <w:r>
              <w:rPr>
                <w:sz w:val="18"/>
              </w:rPr>
              <w:t>; disagreements documented.</w:t>
            </w:r>
          </w:p>
        </w:tc>
        <w:tc>
          <w:tcPr>
            <w:tcW w:type="dxa" w:w="1568"/>
          </w:tcPr>
          <w:p>
            <w:r/>
            <w:r>
              <w:rPr>
                <w:sz w:val="18"/>
              </w:rPr>
              <w:t>Repeated runs equivalent above threshold.</w:t>
            </w:r>
          </w:p>
        </w:tc>
        <w:tc>
          <w:tcPr>
            <w:tcW w:type="dxa" w:w="1568"/>
          </w:tcPr>
          <w:p>
            <w:r/>
            <w:r>
              <w:rPr>
                <w:b/>
                <w:sz w:val="18"/>
              </w:rPr>
              <w:t>NOT-YET-EXECUTED / capped</w:t>
            </w:r>
            <w:r>
              <w:rPr>
                <w:sz w:val="18"/>
              </w:rPr>
              <w:t xml:space="preserve"> — threshold undefined (GPQ-004) and live N-run not performed.</w:t>
            </w:r>
          </w:p>
        </w:tc>
      </w:tr>
      <w:tr>
        <w:tc>
          <w:tcPr>
            <w:tcW w:type="dxa" w:w="1568"/>
          </w:tcPr>
          <w:p>
            <w:r/>
            <w:r>
              <w:rPr>
                <w:b/>
                <w:sz w:val="18"/>
              </w:rPr>
              <w:t>PQ-060</w:t>
            </w:r>
          </w:p>
        </w:tc>
        <w:tc>
          <w:tcPr>
            <w:tcW w:type="dxa" w:w="1568"/>
          </w:tcPr>
          <w:p>
            <w:r/>
            <w:r>
              <w:rPr>
                <w:sz w:val="18"/>
              </w:rPr>
              <w:t>The installer is idempotent — running it twice yields the same correct link set. (</w:t>
            </w:r>
            <w:r>
              <w:rPr>
                <w:b/>
                <w:sz w:val="18"/>
              </w:rPr>
              <w:t>URS-060</w:t>
            </w:r>
            <w:r>
              <w:rPr>
                <w:sz w:val="18"/>
              </w:rPr>
              <w:t>)</w:t>
            </w:r>
          </w:p>
        </w:tc>
        <w:tc>
          <w:tcPr>
            <w:tcW w:type="dxa" w:w="1568"/>
          </w:tcPr>
          <w:p>
            <w:r/>
            <w:r>
              <w:rPr>
                <w:sz w:val="18"/>
              </w:rPr>
              <w:t>ParaQualis-authored, pending owner confirmation</w:t>
            </w:r>
          </w:p>
        </w:tc>
        <w:tc>
          <w:tcPr>
            <w:tcW w:type="dxa" w:w="1568"/>
          </w:tcPr>
          <w:p>
            <w:r/>
            <w:r>
              <w:rPr>
                <w:sz w:val="18"/>
              </w:rPr>
              <w:t>GAMP 5 (installation control)</w:t>
            </w:r>
          </w:p>
        </w:tc>
        <w:tc>
          <w:tcPr>
            <w:tcW w:type="dxa" w:w="1568"/>
          </w:tcPr>
          <w:p>
            <w:r/>
            <w:r>
              <w:rPr>
                <w:sz w:val="18"/>
              </w:rPr>
              <w:t>Automated (sandbox `CLAUDE_HOME`)</w:t>
            </w:r>
          </w:p>
        </w:tc>
        <w:tc>
          <w:tcPr>
            <w:tcW w:type="dxa" w:w="1568"/>
          </w:tcPr>
          <w:p>
            <w:r/>
            <w:r>
              <w:rPr>
                <w:sz w:val="18"/>
              </w:rPr>
              <w:t>`scripts/PQ-060-install-idempotent.sh`</w:t>
            </w:r>
          </w:p>
        </w:tc>
        <w:tc>
          <w:tcPr>
            <w:tcW w:type="dxa" w:w="1568"/>
          </w:tcPr>
          <w:p>
            <w:r/>
            <w:r>
              <w:rPr>
                <w:sz w:val="18"/>
              </w:rPr>
              <w:t>Two runs exit cleanly; link set byte-identical; every repo command-family/skill/agent linked.</w:t>
            </w:r>
          </w:p>
        </w:tc>
        <w:tc>
          <w:tcPr>
            <w:tcW w:type="dxa" w:w="1568"/>
          </w:tcPr>
          <w:p>
            <w:r/>
            <w:r>
              <w:rPr>
                <w:sz w:val="18"/>
              </w:rPr>
              <w:t>Idempotent, correct link set.</w:t>
            </w:r>
          </w:p>
        </w:tc>
        <w:tc>
          <w:tcPr>
            <w:tcW w:type="dxa" w:w="1568"/>
          </w:tcPr>
          <w:p>
            <w:r/>
            <w:r>
              <w:rPr>
                <w:sz w:val="18"/>
              </w:rPr>
              <w:t>PASS — two runs identical, clean, all assets linked (sandboxed).</w:t>
            </w:r>
          </w:p>
        </w:tc>
      </w:tr>
      <w:tr>
        <w:tc>
          <w:tcPr>
            <w:tcW w:type="dxa" w:w="1568"/>
          </w:tcPr>
          <w:p>
            <w:r/>
            <w:r>
              <w:rPr>
                <w:b/>
                <w:sz w:val="18"/>
              </w:rPr>
              <w:t>PQ-061</w:t>
            </w:r>
          </w:p>
        </w:tc>
        <w:tc>
          <w:tcPr>
            <w:tcW w:type="dxa" w:w="1568"/>
          </w:tcPr>
          <w:p>
            <w:r/>
            <w:r>
              <w:rPr>
                <w:sz w:val="18"/>
              </w:rPr>
              <w:t>The catalog regenerates to match the actual repo assets (no drift). (</w:t>
            </w:r>
            <w:r>
              <w:rPr>
                <w:b/>
                <w:sz w:val="18"/>
              </w:rPr>
              <w:t>URS-061</w:t>
            </w:r>
            <w:r>
              <w:rPr>
                <w:sz w:val="18"/>
              </w:rPr>
              <w:t>)</w:t>
            </w:r>
          </w:p>
        </w:tc>
        <w:tc>
          <w:tcPr>
            <w:tcW w:type="dxa" w:w="1568"/>
          </w:tcPr>
          <w:p>
            <w:r/>
            <w:r>
              <w:rPr>
                <w:sz w:val="18"/>
              </w:rPr>
              <w:t>ParaQualis-authored, pending owner confirmation</w:t>
            </w:r>
          </w:p>
        </w:tc>
        <w:tc>
          <w:tcPr>
            <w:tcW w:type="dxa" w:w="1568"/>
          </w:tcPr>
          <w:p>
            <w:r/>
            <w:r>
              <w:rPr>
                <w:sz w:val="18"/>
              </w:rPr>
              <w:t>ALCOA+ (Consistent)</w:t>
            </w:r>
          </w:p>
        </w:tc>
        <w:tc>
          <w:tcPr>
            <w:tcW w:type="dxa" w:w="1568"/>
          </w:tcPr>
          <w:p>
            <w:r/>
            <w:r>
              <w:rPr>
                <w:sz w:val="18"/>
              </w:rPr>
              <w:t>Automated (read-only)</w:t>
            </w:r>
          </w:p>
        </w:tc>
        <w:tc>
          <w:tcPr>
            <w:tcW w:type="dxa" w:w="1568"/>
          </w:tcPr>
          <w:p>
            <w:r/>
            <w:r>
              <w:rPr>
                <w:sz w:val="18"/>
              </w:rPr>
              <w:t>`scripts/PQ-061-catalog-matches-assets.py`</w:t>
            </w:r>
          </w:p>
        </w:tc>
        <w:tc>
          <w:tcPr>
            <w:tcW w:type="dxa" w:w="1568"/>
          </w:tcPr>
          <w:p>
            <w:r/>
            <w:r>
              <w:rPr>
                <w:sz w:val="18"/>
              </w:rPr>
              <w:t>The catalog block in `docs/OVERVIEW.md` lists exactly the repo's commands, skills, sub-agents.</w:t>
            </w:r>
          </w:p>
        </w:tc>
        <w:tc>
          <w:tcPr>
            <w:tcW w:type="dxa" w:w="1568"/>
          </w:tcPr>
          <w:p>
            <w:r/>
            <w:r>
              <w:rPr>
                <w:sz w:val="18"/>
              </w:rPr>
              <w:t>Catalog matches assets.</w:t>
            </w:r>
          </w:p>
        </w:tc>
        <w:tc>
          <w:tcPr>
            <w:tcW w:type="dxa" w:w="1568"/>
          </w:tcPr>
          <w:p>
            <w:r/>
            <w:r>
              <w:rPr>
                <w:sz w:val="18"/>
              </w:rPr>
              <w:t>PASS — 18 commands, 2 skills, 3 sub-agents all present in catalog.</w:t>
            </w:r>
          </w:p>
        </w:tc>
      </w:tr>
      <w:tr>
        <w:tc>
          <w:tcPr>
            <w:tcW w:type="dxa" w:w="1568"/>
          </w:tcPr>
          <w:p>
            <w:r/>
            <w:r>
              <w:rPr>
                <w:b/>
                <w:sz w:val="18"/>
              </w:rPr>
              <w:t>PQ-062</w:t>
            </w:r>
          </w:p>
        </w:tc>
        <w:tc>
          <w:tcPr>
            <w:tcW w:type="dxa" w:w="1568"/>
          </w:tcPr>
          <w:p>
            <w:r/>
            <w:r>
              <w:rPr>
                <w:sz w:val="18"/>
              </w:rPr>
              <w:t>Python tooling declares its third-party dependencies with version constraints. (</w:t>
            </w:r>
            <w:r>
              <w:rPr>
                <w:b/>
                <w:sz w:val="18"/>
              </w:rPr>
              <w:t>URS-062</w:t>
            </w:r>
            <w:r>
              <w:rPr>
                <w:sz w:val="18"/>
              </w:rPr>
              <w:t>)</w:t>
            </w:r>
          </w:p>
        </w:tc>
        <w:tc>
          <w:tcPr>
            <w:tcW w:type="dxa" w:w="1568"/>
          </w:tcPr>
          <w:p>
            <w:r/>
            <w:r>
              <w:rPr>
                <w:sz w:val="18"/>
              </w:rPr>
              <w:t>ParaQualis-authored, pending owner confirmation</w:t>
            </w:r>
          </w:p>
        </w:tc>
        <w:tc>
          <w:tcPr>
            <w:tcW w:type="dxa" w:w="1568"/>
          </w:tcPr>
          <w:p>
            <w:r/>
            <w:r>
              <w:rPr>
                <w:sz w:val="18"/>
              </w:rPr>
              <w:t>GAMP 5 (configuration mgmt); Annex 11 cl.4</w:t>
            </w:r>
          </w:p>
        </w:tc>
        <w:tc>
          <w:tcPr>
            <w:tcW w:type="dxa" w:w="1568"/>
          </w:tcPr>
          <w:p>
            <w:r/>
            <w:r>
              <w:rPr>
                <w:sz w:val="18"/>
              </w:rPr>
              <w:t>Automated</w:t>
            </w:r>
          </w:p>
        </w:tc>
        <w:tc>
          <w:tcPr>
            <w:tcW w:type="dxa" w:w="1568"/>
          </w:tcPr>
          <w:p>
            <w:r/>
            <w:r>
              <w:rPr>
                <w:sz w:val="18"/>
              </w:rPr>
              <w:t>`scripts/PQ-062-dependency-manifest.sh`</w:t>
            </w:r>
          </w:p>
        </w:tc>
        <w:tc>
          <w:tcPr>
            <w:tcW w:type="dxa" w:w="1568"/>
          </w:tcPr>
          <w:p>
            <w:r/>
            <w:r>
              <w:rPr>
                <w:sz w:val="18"/>
              </w:rPr>
              <w:t>A manifest exists declaring `python-docx`, `openpyxl`, `mcp` with version constraints.</w:t>
            </w:r>
          </w:p>
        </w:tc>
        <w:tc>
          <w:tcPr>
            <w:tcW w:type="dxa" w:w="1568"/>
          </w:tcPr>
          <w:p>
            <w:r/>
            <w:r>
              <w:rPr>
                <w:sz w:val="18"/>
              </w:rPr>
              <w:t>Manifest present and complete.</w:t>
            </w:r>
          </w:p>
        </w:tc>
        <w:tc>
          <w:tcPr>
            <w:tcW w:type="dxa" w:w="1568"/>
          </w:tcPr>
          <w:p>
            <w:r/>
            <w:r>
              <w:rPr>
                <w:b/>
                <w:sz w:val="18"/>
              </w:rPr>
              <w:t>PASS (re-run 2026-06-17)</w:t>
            </w:r>
            <w:r>
              <w:rPr>
                <w:sz w:val="18"/>
              </w:rPr>
              <w:t xml:space="preserve"> — `requirements.txt` pins all three (`==`); the PQ-062 script confirms. GIQ-001 closed.</w:t>
            </w:r>
          </w:p>
        </w:tc>
      </w:tr>
    </w:tbl>
    <w:p>
      <w:r>
        <w:rPr>
          <w:b/>
          <w:sz w:val="20"/>
        </w:rPr>
        <w:t>Outcome tally (honest, after 2026-06-17 remediation):</w:t>
      </w:r>
      <w:r>
        <w:rPr>
          <w:sz w:val="20"/>
        </w:rPr>
        <w:t xml:space="preserve"> PASS as-built: </w:t>
      </w:r>
      <w:r>
        <w:rPr>
          <w:b/>
          <w:sz w:val="20"/>
        </w:rPr>
        <w:t>PQ-001, PQ-003, PQ-010, PQ-012, PQ-020, PQ-021, PQ-030, PQ-031, PQ-040, PQ-041, PQ-AI-050, PQ-AI-051, PQ-AI-052, PQ-060, PQ-061, PQ-062</w:t>
      </w:r>
      <w:r>
        <w:rPr>
          <w:sz w:val="20"/>
        </w:rPr>
        <w:t xml:space="preserve"> · </w:t>
      </w:r>
      <w:r>
        <w:rPr>
          <w:b/>
          <w:sz w:val="20"/>
        </w:rPr>
        <w:t>FAIL: none</w:t>
      </w:r>
      <w:r>
        <w:rPr>
          <w:sz w:val="20"/>
        </w:rPr>
        <w:t xml:space="preserve"> (PQ-031 logging and PQ-062 manifest were closed and re-run PASS) · </w:t>
      </w:r>
      <w:r>
        <w:rPr>
          <w:b/>
          <w:sz w:val="20"/>
        </w:rPr>
        <w:t>Not-yet-executed:</w:t>
      </w:r>
      <w:r>
        <w:rPr>
          <w:sz w:val="20"/>
        </w:rPr>
        <w:t xml:space="preserve"> PQ-002, PQ-004, PQ-005, PQ-006, PQ-013 (live-internet / witnessed session) and </w:t>
      </w:r>
      <w:r>
        <w:rPr>
          <w:b/>
          <w:sz w:val="20"/>
        </w:rPr>
        <w:t>PQ-AI-053</w:t>
      </w:r>
      <w:r>
        <w:rPr>
          <w:sz w:val="20"/>
        </w:rPr>
        <w:t xml:space="preserve"> (threshold undefined). *No not-yet-executed item is counted as a pass.*</w:t>
      </w:r>
    </w:p>
    <w:p>
      <w:pPr>
        <w:keepNext/>
        <w:spacing w:before="200" w:after="80"/>
      </w:pPr>
      <w:r>
        <w:rPr>
          <w:b/>
          <w:color w:val="276BB2"/>
          <w:sz w:val="28"/>
        </w:rPr>
        <w:t>5. PQ gap register (GPQ — starts at GPQ-002; GPQ-001 owned by the orchestrator)</w:t>
      </w:r>
    </w:p>
    <w:p>
      <w:pPr>
        <w:ind w:left="432"/>
      </w:pPr>
      <w:r>
        <w:rPr>
          <w:color w:val="81A5C1"/>
          <w:sz w:val="20"/>
        </w:rPr>
        <w:t>Plain-language register of what is not yet proven and why it matters. Each gap is closed only when its linked test-case(s) PASS. (The consolidated `Gap-Analysis.md` is owned by the orchestrator; these are the PQ-stage contributions.)</w:t>
      </w:r>
    </w:p>
    <w:tbl>
      <w:tblPr>
        <w:tblStyle w:val="LightGrid-Accent1"/>
        <w:tblW w:type="auto" w:w="0"/>
        <w:tblLayout w:type="autofit"/>
        <w:tblLook w:firstColumn="1" w:firstRow="1" w:lastColumn="0" w:lastRow="0" w:noHBand="0" w:noVBand="1" w:val="04A0"/>
      </w:tblPr>
      <w:tblGrid>
        <w:gridCol w:w="1568"/>
        <w:gridCol w:w="1568"/>
        <w:gridCol w:w="1568"/>
        <w:gridCol w:w="1568"/>
        <w:gridCol w:w="1568"/>
        <w:gridCol w:w="1568"/>
        <w:gridCol w:w="1568"/>
        <w:gridCol w:w="1568"/>
        <w:gridCol w:w="1568"/>
      </w:tblGrid>
      <w:tr>
        <w:tc>
          <w:tcPr>
            <w:tcW w:type="dxa" w:w="1568"/>
            <w:shd w:val="clear" w:fill="276BB2"/>
          </w:tcPr>
          <w:p>
            <w:r/>
            <w:r>
              <w:rPr>
                <w:b/>
                <w:color w:val="FFFFFF"/>
                <w:sz w:val="18"/>
              </w:rPr>
              <w:t>Gap ID</w:t>
            </w:r>
          </w:p>
        </w:tc>
        <w:tc>
          <w:tcPr>
            <w:tcW w:type="dxa" w:w="1568"/>
            <w:shd w:val="clear" w:fill="276BB2"/>
          </w:tcPr>
          <w:p>
            <w:r/>
            <w:r>
              <w:rPr>
                <w:b/>
                <w:color w:val="FFFFFF"/>
                <w:sz w:val="18"/>
              </w:rPr>
              <w:t>Source test-case(s)</w:t>
            </w:r>
          </w:p>
        </w:tc>
        <w:tc>
          <w:tcPr>
            <w:tcW w:type="dxa" w:w="1568"/>
            <w:shd w:val="clear" w:fill="276BB2"/>
          </w:tcPr>
          <w:p>
            <w:r/>
            <w:r>
              <w:rPr>
                <w:b/>
                <w:color w:val="FFFFFF"/>
                <w:sz w:val="18"/>
              </w:rPr>
              <w:t>Description (what is wrong and why it matters)</w:t>
            </w:r>
          </w:p>
        </w:tc>
        <w:tc>
          <w:tcPr>
            <w:tcW w:type="dxa" w:w="1568"/>
            <w:shd w:val="clear" w:fill="276BB2"/>
          </w:tcPr>
          <w:p>
            <w:r/>
            <w:r>
              <w:rPr>
                <w:b/>
                <w:color w:val="FFFFFF"/>
                <w:sz w:val="18"/>
              </w:rPr>
              <w:t>Severity</w:t>
            </w:r>
          </w:p>
        </w:tc>
        <w:tc>
          <w:tcPr>
            <w:tcW w:type="dxa" w:w="1568"/>
            <w:shd w:val="clear" w:fill="276BB2"/>
          </w:tcPr>
          <w:p>
            <w:r/>
            <w:r>
              <w:rPr>
                <w:b/>
                <w:color w:val="FFFFFF"/>
                <w:sz w:val="18"/>
              </w:rPr>
              <w:t>Regulatory linkage</w:t>
            </w:r>
          </w:p>
        </w:tc>
        <w:tc>
          <w:tcPr>
            <w:tcW w:type="dxa" w:w="1568"/>
            <w:shd w:val="clear" w:fill="276BB2"/>
          </w:tcPr>
          <w:p>
            <w:r/>
            <w:r>
              <w:rPr>
                <w:b/>
                <w:color w:val="FFFFFF"/>
                <w:sz w:val="18"/>
              </w:rPr>
              <w:t>Recommended remediation</w:t>
            </w:r>
          </w:p>
        </w:tc>
        <w:tc>
          <w:tcPr>
            <w:tcW w:type="dxa" w:w="1568"/>
            <w:shd w:val="clear" w:fill="276BB2"/>
          </w:tcPr>
          <w:p>
            <w:r/>
            <w:r>
              <w:rPr>
                <w:b/>
                <w:color w:val="FFFFFF"/>
                <w:sz w:val="18"/>
              </w:rPr>
              <w:t>Target location</w:t>
            </w:r>
          </w:p>
        </w:tc>
        <w:tc>
          <w:tcPr>
            <w:tcW w:type="dxa" w:w="1568"/>
            <w:shd w:val="clear" w:fill="276BB2"/>
          </w:tcPr>
          <w:p>
            <w:r/>
            <w:r>
              <w:rPr>
                <w:b/>
                <w:color w:val="FFFFFF"/>
                <w:sz w:val="18"/>
              </w:rPr>
              <w:t>Definition of done</w:t>
            </w:r>
          </w:p>
        </w:tc>
        <w:tc>
          <w:tcPr>
            <w:tcW w:type="dxa" w:w="1568"/>
            <w:shd w:val="clear" w:fill="276BB2"/>
          </w:tcPr>
          <w:p>
            <w:r/>
            <w:r>
              <w:rPr>
                <w:b/>
                <w:color w:val="FFFFFF"/>
                <w:sz w:val="18"/>
              </w:rPr>
              <w:t>Owner / Status</w:t>
            </w:r>
          </w:p>
        </w:tc>
      </w:tr>
      <w:tr>
        <w:tc>
          <w:tcPr>
            <w:tcW w:type="dxa" w:w="1568"/>
          </w:tcPr>
          <w:p>
            <w:r/>
            <w:r>
              <w:rPr>
                <w:b/>
                <w:sz w:val="18"/>
              </w:rPr>
              <w:t>GPQ-002</w:t>
            </w:r>
          </w:p>
        </w:tc>
        <w:tc>
          <w:tcPr>
            <w:tcW w:type="dxa" w:w="1568"/>
          </w:tcPr>
          <w:p>
            <w:r/>
            <w:r>
              <w:rPr>
                <w:sz w:val="18"/>
              </w:rPr>
              <w:t>PQ-006, PQ-013</w:t>
            </w:r>
          </w:p>
        </w:tc>
        <w:tc>
          <w:tcPr>
            <w:tcW w:type="dxa" w:w="1568"/>
          </w:tcPr>
          <w:p>
            <w:r/>
            <w:r>
              <w:rPr>
                <w:sz w:val="18"/>
              </w:rPr>
              <w:t xml:space="preserve">The Python tools need third-party libraries (the Word/Excel builders need `python-docx` and `openpyxl`; the openFDA server needs `mcp`), but those libraries are </w:t>
            </w:r>
            <w:r>
              <w:rPr>
                <w:b/>
                <w:sz w:val="18"/>
              </w:rPr>
              <w:t>not guaranteed to be installed</w:t>
            </w:r>
            <w:r>
              <w:rPr>
                <w:sz w:val="18"/>
              </w:rPr>
              <w:t xml:space="preserve"> in the environment where the toolkit runs. When they are missing the affected feature cannot be exercised at all — so its intended-use evidence cannot be produced. (In this generation environment the libraries were absent, which is exactly why PQ-006 and PQ-013 could not be executed.) This is tightly linked to the missing dependency manifest (GPQ-005).</w:t>
            </w:r>
          </w:p>
        </w:tc>
        <w:tc>
          <w:tcPr>
            <w:tcW w:type="dxa" w:w="1568"/>
          </w:tcPr>
          <w:p>
            <w:r/>
            <w:r>
              <w:rPr>
                <w:sz w:val="18"/>
              </w:rPr>
              <w:t>high</w:t>
            </w:r>
          </w:p>
        </w:tc>
        <w:tc>
          <w:tcPr>
            <w:tcW w:type="dxa" w:w="1568"/>
          </w:tcPr>
          <w:p>
            <w:r/>
            <w:r>
              <w:rPr>
                <w:sz w:val="18"/>
              </w:rPr>
              <w:t>GAMP 5 (configuration mgmt); Annex 11 cl.4</w:t>
            </w:r>
          </w:p>
        </w:tc>
        <w:tc>
          <w:tcPr>
            <w:tcW w:type="dxa" w:w="1568"/>
          </w:tcPr>
          <w:p>
            <w:r/>
            <w:r>
              <w:rPr>
                <w:sz w:val="18"/>
              </w:rPr>
              <w:t>Ship and document the runtime prerequisites and a one-line install step; combine with the version-pinned manifest (GPQ-005) so the validated library set is reproducible.</w:t>
            </w:r>
          </w:p>
        </w:tc>
        <w:tc>
          <w:tcPr>
            <w:tcW w:type="dxa" w:w="1568"/>
          </w:tcPr>
          <w:p>
            <w:r/>
            <w:r>
              <w:rPr>
                <w:sz w:val="18"/>
              </w:rPr>
              <w:t>repo root + `mcp-servers/openfda/README.md`</w:t>
            </w:r>
          </w:p>
        </w:tc>
        <w:tc>
          <w:tcPr>
            <w:tcW w:type="dxa" w:w="1568"/>
          </w:tcPr>
          <w:p>
            <w:r/>
            <w:r>
              <w:rPr>
                <w:sz w:val="18"/>
              </w:rPr>
              <w:t>PQ-006 and PQ-013 execute and PASS in a clean install.</w:t>
            </w:r>
          </w:p>
        </w:tc>
        <w:tc>
          <w:tcPr>
            <w:tcW w:type="dxa" w:w="1568"/>
          </w:tcPr>
          <w:p>
            <w:r/>
            <w:r>
              <w:rPr>
                <w:sz w:val="18"/>
              </w:rPr>
              <w:t>ParaQualis / open</w:t>
            </w:r>
          </w:p>
        </w:tc>
      </w:tr>
      <w:tr>
        <w:tc>
          <w:tcPr>
            <w:tcW w:type="dxa" w:w="1568"/>
          </w:tcPr>
          <w:p>
            <w:r/>
            <w:r>
              <w:rPr>
                <w:b/>
                <w:sz w:val="18"/>
              </w:rPr>
              <w:t>GPQ-003</w:t>
            </w:r>
          </w:p>
        </w:tc>
        <w:tc>
          <w:tcPr>
            <w:tcW w:type="dxa" w:w="1568"/>
          </w:tcPr>
          <w:p>
            <w:r/>
            <w:r>
              <w:rPr>
                <w:sz w:val="18"/>
              </w:rPr>
              <w:t>PQ-031, also surfaced by PQ-013</w:t>
            </w:r>
          </w:p>
        </w:tc>
        <w:tc>
          <w:tcPr>
            <w:tcW w:type="dxa" w:w="1568"/>
          </w:tcPr>
          <w:p>
            <w:r/>
            <w:r>
              <w:rPr>
                <w:sz w:val="18"/>
              </w:rPr>
              <w:t xml:space="preserve">When the toolkit runs as a long-lived process (the openFDA tool server and the document-protection hook), it does </w:t>
            </w:r>
            <w:r>
              <w:rPr>
                <w:b/>
                <w:sz w:val="18"/>
              </w:rPr>
              <w:t>not write a server-side log</w:t>
            </w:r>
            <w:r>
              <w:rPr>
                <w:sz w:val="18"/>
              </w:rPr>
              <w:t xml:space="preserve"> of the material things it does — for example, denying an edit to an approved record, or an API call failing. The only error visibility is the message shown to the assistant in the chat. An auditor reviewing what the process actually did, independently of any one chat, has </w:t>
            </w:r>
            <w:r>
              <w:rPr>
                <w:b/>
                <w:sz w:val="18"/>
              </w:rPr>
              <w:t>no record to inspect</w:t>
            </w:r>
            <w:r>
              <w:rPr>
                <w:sz w:val="18"/>
              </w:rPr>
              <w:t>.</w:t>
            </w:r>
          </w:p>
        </w:tc>
        <w:tc>
          <w:tcPr>
            <w:tcW w:type="dxa" w:w="1568"/>
          </w:tcPr>
          <w:p>
            <w:r/>
            <w:r>
              <w:rPr>
                <w:sz w:val="18"/>
              </w:rPr>
              <w:t>high</w:t>
            </w:r>
          </w:p>
        </w:tc>
        <w:tc>
          <w:tcPr>
            <w:tcW w:type="dxa" w:w="1568"/>
          </w:tcPr>
          <w:p>
            <w:r/>
            <w:r>
              <w:rPr>
                <w:sz w:val="18"/>
              </w:rPr>
              <w:t>21 CFR Part 11 §11.10(e); EU GMP Annex 11 cl.9</w:t>
            </w:r>
          </w:p>
        </w:tc>
        <w:tc>
          <w:tcPr>
            <w:tcW w:type="dxa" w:w="1568"/>
          </w:tcPr>
          <w:p>
            <w:r/>
            <w:r>
              <w:rPr>
                <w:sz w:val="18"/>
              </w:rPr>
              <w:t>Add a lightweight server-side log (Python `logging` to a file/stderr captured by the host) recording material actions and denials with a timestamp, in both the MCP server and the hook.</w:t>
            </w:r>
          </w:p>
        </w:tc>
        <w:tc>
          <w:tcPr>
            <w:tcW w:type="dxa" w:w="1568"/>
          </w:tcPr>
          <w:p>
            <w:r/>
            <w:r>
              <w:rPr>
                <w:sz w:val="18"/>
              </w:rPr>
              <w:t>`mcp-servers/openfda/server.py`; `hooks/protect-approved-documents.py`</w:t>
            </w:r>
          </w:p>
        </w:tc>
        <w:tc>
          <w:tcPr>
            <w:tcW w:type="dxa" w:w="1568"/>
          </w:tcPr>
          <w:p>
            <w:r/>
            <w:r>
              <w:rPr>
                <w:sz w:val="18"/>
              </w:rPr>
              <w:t>PQ-031 PASSES (both processes emit a server-side log facility).</w:t>
            </w:r>
          </w:p>
        </w:tc>
        <w:tc>
          <w:tcPr>
            <w:tcW w:type="dxa" w:w="1568"/>
          </w:tcPr>
          <w:p>
            <w:r/>
            <w:r>
              <w:rPr>
                <w:sz w:val="18"/>
              </w:rPr>
              <w:t>ParaQualis / open</w:t>
            </w:r>
          </w:p>
        </w:tc>
      </w:tr>
      <w:tr>
        <w:tc>
          <w:tcPr>
            <w:tcW w:type="dxa" w:w="1568"/>
          </w:tcPr>
          <w:p>
            <w:r/>
            <w:r>
              <w:rPr>
                <w:b/>
                <w:sz w:val="18"/>
              </w:rPr>
              <w:t>GPQ-004</w:t>
            </w:r>
          </w:p>
        </w:tc>
        <w:tc>
          <w:tcPr>
            <w:tcW w:type="dxa" w:w="1568"/>
          </w:tcPr>
          <w:p>
            <w:r/>
            <w:r>
              <w:rPr>
                <w:sz w:val="18"/>
              </w:rPr>
              <w:t>PQ-AI-053</w:t>
            </w:r>
          </w:p>
        </w:tc>
        <w:tc>
          <w:tcPr>
            <w:tcW w:type="dxa" w:w="1568"/>
          </w:tcPr>
          <w:p>
            <w:r/>
            <w:r>
              <w:rPr>
                <w:sz w:val="18"/>
              </w:rPr>
              <w:t xml:space="preserve">There is </w:t>
            </w:r>
            <w:r>
              <w:rPr>
                <w:b/>
                <w:sz w:val="18"/>
              </w:rPr>
              <w:t>no approved numerical threshold</w:t>
            </w:r>
            <w:r>
              <w:rPr>
                <w:sz w:val="18"/>
              </w:rPr>
              <w:t xml:space="preserve"> defining how consistent the AI engine's output must be when given the same system twice (e.g. a minimum coverage-agreement percentage). Without an approved threshold the consistency test </w:t>
            </w:r>
            <w:r>
              <w:rPr>
                <w:b/>
                <w:sz w:val="18"/>
              </w:rPr>
              <w:t>cannot be executed or passed</w:t>
            </w:r>
            <w:r>
              <w:rPr>
                <w:sz w:val="18"/>
              </w:rPr>
              <w:t xml:space="preserve"> — and consistency is the base evidence layer for relying on any AI tool. No number has been invented here on purpose: it is a business-risk decision for the system owner.</w:t>
            </w:r>
          </w:p>
        </w:tc>
        <w:tc>
          <w:tcPr>
            <w:tcW w:type="dxa" w:w="1568"/>
          </w:tcPr>
          <w:p>
            <w:r/>
            <w:r>
              <w:rPr>
                <w:sz w:val="18"/>
              </w:rPr>
              <w:t>high</w:t>
            </w:r>
          </w:p>
        </w:tc>
        <w:tc>
          <w:tcPr>
            <w:tcW w:type="dxa" w:w="1568"/>
          </w:tcPr>
          <w:p>
            <w:r/>
            <w:r>
              <w:rPr>
                <w:sz w:val="18"/>
              </w:rPr>
              <w:t>ISPE GAMP AI (consistency); EU draft Annex 22; FDA AI credibility framework</w:t>
            </w:r>
          </w:p>
        </w:tc>
        <w:tc>
          <w:tcPr>
            <w:tcW w:type="dxa" w:w="1568"/>
          </w:tcPr>
          <w:p>
            <w:r/>
            <w:r>
              <w:rPr>
                <w:sz w:val="18"/>
              </w:rPr>
              <w:t>The system owner defines and approves a consistency threshold for this Context of Use (the protocol's worked example — min pairwise coverage ≥ 0.70 — is illustrative only, not to be adopted unexamined); then execute the repeated-run procedure.</w:t>
            </w:r>
          </w:p>
        </w:tc>
        <w:tc>
          <w:tcPr>
            <w:tcW w:type="dxa" w:w="1568"/>
          </w:tcPr>
          <w:p>
            <w:r/>
            <w:r>
              <w:rPr>
                <w:sz w:val="18"/>
              </w:rPr>
              <w:t>`Qualification/scripts/PQ-AI-053-consistency-test.md` (and the engine's COU record)</w:t>
            </w:r>
          </w:p>
        </w:tc>
        <w:tc>
          <w:tcPr>
            <w:tcW w:type="dxa" w:w="1568"/>
          </w:tcPr>
          <w:p>
            <w:r/>
            <w:r>
              <w:rPr>
                <w:sz w:val="18"/>
              </w:rPr>
              <w:t>A threshold is approved AND PQ-AI-053 executes and PASSES against it.</w:t>
            </w:r>
          </w:p>
        </w:tc>
        <w:tc>
          <w:tcPr>
            <w:tcW w:type="dxa" w:w="1568"/>
          </w:tcPr>
          <w:p>
            <w:r/>
            <w:r>
              <w:rPr>
                <w:sz w:val="18"/>
              </w:rPr>
              <w:t>System owner / open</w:t>
            </w:r>
          </w:p>
        </w:tc>
      </w:tr>
      <w:tr>
        <w:tc>
          <w:tcPr>
            <w:tcW w:type="dxa" w:w="1568"/>
          </w:tcPr>
          <w:p>
            <w:r/>
            <w:r>
              <w:rPr>
                <w:b/>
                <w:sz w:val="18"/>
              </w:rPr>
              <w:t>GPQ-005</w:t>
            </w:r>
          </w:p>
        </w:tc>
        <w:tc>
          <w:tcPr>
            <w:tcW w:type="dxa" w:w="1568"/>
          </w:tcPr>
          <w:p>
            <w:r/>
            <w:r>
              <w:rPr>
                <w:sz w:val="18"/>
              </w:rPr>
              <w:t>PQ-062, also surfaced by PQ-006</w:t>
            </w:r>
          </w:p>
        </w:tc>
        <w:tc>
          <w:tcPr>
            <w:tcW w:type="dxa" w:w="1568"/>
          </w:tcPr>
          <w:p>
            <w:r/>
            <w:r>
              <w:rPr>
                <w:sz w:val="18"/>
              </w:rPr>
              <w:t xml:space="preserve">The Python tools import third-party libraries but the repo has </w:t>
            </w:r>
            <w:r>
              <w:rPr>
                <w:b/>
                <w:sz w:val="18"/>
              </w:rPr>
              <w:t>no dependency manifest pinning their versions</w:t>
            </w:r>
            <w:r>
              <w:rPr>
                <w:sz w:val="18"/>
              </w:rPr>
              <w:t xml:space="preserve"> (no `requirements.txt`/`pyproject.toml` listing `python-docx`, `openpyxl`, `mcp` with version constraints). A later rebuild can therefore pull </w:t>
            </w:r>
            <w:r>
              <w:rPr>
                <w:b/>
                <w:sz w:val="18"/>
              </w:rPr>
              <w:t>different library versions than the validated build</w:t>
            </w:r>
            <w:r>
              <w:rPr>
                <w:sz w:val="18"/>
              </w:rPr>
              <w:t>, silently changing behaviour and breaking reproducibility of a validated system. (This is the target state URS-062 states is not yet met.)</w:t>
            </w:r>
          </w:p>
        </w:tc>
        <w:tc>
          <w:tcPr>
            <w:tcW w:type="dxa" w:w="1568"/>
          </w:tcPr>
          <w:p>
            <w:r/>
            <w:r>
              <w:rPr>
                <w:sz w:val="18"/>
              </w:rPr>
              <w:t>medium</w:t>
            </w:r>
          </w:p>
        </w:tc>
        <w:tc>
          <w:tcPr>
            <w:tcW w:type="dxa" w:w="1568"/>
          </w:tcPr>
          <w:p>
            <w:r/>
            <w:r>
              <w:rPr>
                <w:sz w:val="18"/>
              </w:rPr>
              <w:t>GAMP 5 (configuration mgmt); EU GMP Annex 11 cl.4</w:t>
            </w:r>
          </w:p>
        </w:tc>
        <w:tc>
          <w:tcPr>
            <w:tcW w:type="dxa" w:w="1568"/>
          </w:tcPr>
          <w:p>
            <w:r/>
            <w:r>
              <w:rPr>
                <w:sz w:val="18"/>
              </w:rPr>
              <w:t>Add a version-constrained dependency manifest covering `python-docx`, `openpyxl`, and `mcp`, resolving the libraries the code imports.</w:t>
            </w:r>
          </w:p>
        </w:tc>
        <w:tc>
          <w:tcPr>
            <w:tcW w:type="dxa" w:w="1568"/>
          </w:tcPr>
          <w:p>
            <w:r/>
            <w:r>
              <w:rPr>
                <w:sz w:val="18"/>
              </w:rPr>
              <w:t>repo root (`requirements.txt` or `pyproject.toml`)</w:t>
            </w:r>
          </w:p>
        </w:tc>
        <w:tc>
          <w:tcPr>
            <w:tcW w:type="dxa" w:w="1568"/>
          </w:tcPr>
          <w:p>
            <w:r/>
            <w:r>
              <w:rPr>
                <w:sz w:val="18"/>
              </w:rPr>
              <w:t>PQ-062 PASSES (manifest present, all three libraries pinned).</w:t>
            </w:r>
          </w:p>
        </w:tc>
        <w:tc>
          <w:tcPr>
            <w:tcW w:type="dxa" w:w="1568"/>
          </w:tcPr>
          <w:p>
            <w:r/>
            <w:r>
              <w:rPr>
                <w:sz w:val="18"/>
              </w:rPr>
              <w:t>ParaQualis / open</w:t>
            </w:r>
          </w:p>
        </w:tc>
      </w:tr>
      <w:tr>
        <w:tc>
          <w:tcPr>
            <w:tcW w:type="dxa" w:w="1568"/>
          </w:tcPr>
          <w:p>
            <w:r/>
            <w:r>
              <w:rPr>
                <w:b/>
                <w:sz w:val="18"/>
              </w:rPr>
              <w:t>GPQ-006</w:t>
            </w:r>
          </w:p>
        </w:tc>
        <w:tc>
          <w:tcPr>
            <w:tcW w:type="dxa" w:w="1568"/>
          </w:tcPr>
          <w:p>
            <w:r/>
            <w:r>
              <w:rPr>
                <w:sz w:val="18"/>
              </w:rPr>
              <w:t>PQ-002, PQ-005, PQ-004, PQ-013</w:t>
            </w:r>
          </w:p>
        </w:tc>
        <w:tc>
          <w:tcPr>
            <w:tcW w:type="dxa" w:w="1568"/>
          </w:tcPr>
          <w:p>
            <w:r/>
            <w:r>
              <w:rPr>
                <w:sz w:val="18"/>
              </w:rPr>
              <w:t xml:space="preserve">A set of intended-use behaviours can only be proven by </w:t>
            </w:r>
            <w:r>
              <w:rPr>
                <w:b/>
                <w:sz w:val="18"/>
              </w:rPr>
              <w:t>running the live system</w:t>
            </w:r>
            <w:r>
              <w:rPr>
                <w:sz w:val="18"/>
              </w:rPr>
              <w:t xml:space="preserve"> — skills auto-invoking, the eCFR commands fetching live regulation, the openFDA tools returning shaped results and surfacing errors. These have </w:t>
            </w:r>
            <w:r>
              <w:rPr>
                <w:b/>
                <w:sz w:val="18"/>
              </w:rPr>
              <w:t>not yet been executed</w:t>
            </w:r>
            <w:r>
              <w:rPr>
                <w:sz w:val="18"/>
              </w:rPr>
              <w:t xml:space="preserve"> (they need a live Claude session, internet access, and installed dependencies). Until executed, the intended-use claim for these features is </w:t>
            </w:r>
            <w:r>
              <w:rPr>
                <w:b/>
                <w:sz w:val="18"/>
              </w:rPr>
              <w:t>drafted but not evidenced</w:t>
            </w:r>
            <w:r>
              <w:rPr>
                <w:sz w:val="18"/>
              </w:rPr>
              <w:t xml:space="preserve"> — and a not-yet-executed test is not a pass.</w:t>
            </w:r>
          </w:p>
        </w:tc>
        <w:tc>
          <w:tcPr>
            <w:tcW w:type="dxa" w:w="1568"/>
          </w:tcPr>
          <w:p>
            <w:r/>
            <w:r>
              <w:rPr>
                <w:sz w:val="18"/>
              </w:rPr>
              <w:t>medium</w:t>
            </w:r>
          </w:p>
        </w:tc>
        <w:tc>
          <w:tcPr>
            <w:tcW w:type="dxa" w:w="1568"/>
          </w:tcPr>
          <w:p>
            <w:r/>
            <w:r>
              <w:rPr>
                <w:sz w:val="18"/>
              </w:rPr>
              <w:t>GAMP 5 (functional intended use); Annex 11 cl.4</w:t>
            </w:r>
          </w:p>
        </w:tc>
        <w:tc>
          <w:tcPr>
            <w:tcW w:type="dxa" w:w="1568"/>
          </w:tcPr>
          <w:p>
            <w:r/>
            <w:r>
              <w:rPr>
                <w:sz w:val="18"/>
              </w:rPr>
              <w:t>Execute PQ-002, PQ-004, PQ-005, PQ-013 in a fully-installed live environment and record the witnessed results.</w:t>
            </w:r>
          </w:p>
        </w:tc>
        <w:tc>
          <w:tcPr>
            <w:tcW w:type="dxa" w:w="1568"/>
          </w:tcPr>
          <w:p>
            <w:r/>
            <w:r>
              <w:rPr>
                <w:sz w:val="18"/>
              </w:rPr>
              <w:t>`Qualification/scripts/` (the named test-cases)</w:t>
            </w:r>
          </w:p>
        </w:tc>
        <w:tc>
          <w:tcPr>
            <w:tcW w:type="dxa" w:w="1568"/>
          </w:tcPr>
          <w:p>
            <w:r/>
            <w:r>
              <w:rPr>
                <w:sz w:val="18"/>
              </w:rPr>
              <w:t>PQ-002, PQ-004, PQ-005, PQ-013 executed with recorded PASS results.</w:t>
            </w:r>
          </w:p>
        </w:tc>
        <w:tc>
          <w:tcPr>
            <w:tcW w:type="dxa" w:w="1568"/>
          </w:tcPr>
          <w:p>
            <w:r/>
            <w:r>
              <w:rPr>
                <w:sz w:val="18"/>
              </w:rPr>
              <w:t>ParaQualis / open</w:t>
            </w:r>
          </w:p>
        </w:tc>
      </w:tr>
    </w:tbl>
    <w:p>
      <w:pPr>
        <w:keepNext/>
        <w:spacing w:before="200" w:after="80"/>
      </w:pPr>
      <w:r>
        <w:rPr>
          <w:b/>
          <w:color w:val="276BB2"/>
          <w:sz w:val="28"/>
        </w:rPr>
        <w:t>6. House engineering-quality (HEQ) notes</w:t>
      </w:r>
    </w:p>
    <w:p>
      <w:pPr>
        <w:pStyle w:val="ListBullet"/>
      </w:pPr>
      <w:r>
        <w:rPr>
          <w:b/>
          <w:sz w:val="20"/>
        </w:rPr>
        <w:t>HEQ-1 — Scripts are dog-fooded against this very pack.</w:t>
      </w:r>
      <w:r>
        <w:rPr>
          <w:sz w:val="20"/>
        </w:rPr>
        <w:t xml:space="preserve"> Several PQ checks (PQ-010, PQ-012, PQ-030, PQ-041, PQ-AI-050/051/052) inspect the pack's *own* test-cases. This is deliberate (the engine should meet its own standard) but a reviewer should note the checks are necessary-but-not-sufficient structural checks; the substantive human review (do the citations resolve? is the regulatory linkage correct?) is the binding evidence and is recorded in each execution block.</w:t>
      </w:r>
    </w:p>
    <w:p>
      <w:pPr>
        <w:pStyle w:val="ListBullet"/>
      </w:pPr>
      <w:r>
        <w:rPr>
          <w:b/>
          <w:sz w:val="20"/>
        </w:rPr>
        <w:t>HEQ-2 — As-built indications are not execution records.</w:t>
      </w:r>
      <w:r>
        <w:rPr>
          <w:sz w:val="20"/>
        </w:rPr>
        <w:t xml:space="preserve"> The "As-built indication" column reflects read-only dry-runs performed at generation time in a constrained environment (no `mcp`/`openpyxl`/`python-docx` installed, no guaranteed internet). They guide the reviewer; they do </w:t>
      </w:r>
      <w:r>
        <w:rPr>
          <w:b/>
          <w:sz w:val="20"/>
        </w:rPr>
        <w:t>not</w:t>
      </w:r>
      <w:r>
        <w:rPr>
          <w:sz w:val="20"/>
        </w:rPr>
        <w:t xml:space="preserve"> discharge the witnessed execution record, which remains blank until a qualified person runs each test in a representative environment.</w:t>
      </w:r>
    </w:p>
    <w:p>
      <w:pPr>
        <w:pStyle w:val="ListBullet"/>
      </w:pPr>
      <w:r>
        <w:rPr>
          <w:b/>
          <w:sz w:val="20"/>
        </w:rPr>
        <w:t>HEQ-3 — Static vs. runtime fan-out.</w:t>
      </w:r>
      <w:r>
        <w:rPr>
          <w:sz w:val="20"/>
        </w:rPr>
        <w:t xml:space="preserve"> PQ-003 evidences the fan-out *wiring* statically; the runtime guarantee (a live `/qualify:build` creating only `Qualification/` and populating all three stage sections) needs a witnessed live run. Both are noted in the test-case rather than over-claimed.</w:t>
      </w:r>
    </w:p>
    <w:p>
      <w:pPr>
        <w:pStyle w:val="ListBullet"/>
      </w:pPr>
      <w:r>
        <w:rPr>
          <w:b/>
          <w:sz w:val="20"/>
        </w:rPr>
        <w:t>HEQ-4 — No thresholds invented.</w:t>
      </w:r>
      <w:r>
        <w:rPr>
          <w:sz w:val="20"/>
        </w:rPr>
        <w:t xml:space="preserve"> Per the protocol, no AI acceptance number is baked in (PQ-AI-053); the consistency threshold is explicitly left to be defined and approved (GPQ-004).</w:t>
      </w:r>
    </w:p>
    <w:p>
      <w:pPr>
        <w:keepNext/>
        <w:spacing w:before="200" w:after="80"/>
      </w:pPr>
      <w:r>
        <w:rPr>
          <w:b/>
          <w:color w:val="276BB2"/>
          <w:sz w:val="28"/>
        </w:rPr>
        <w:t>7. Approval</w:t>
      </w:r>
    </w:p>
    <w:p>
      <w:r>
        <w:rPr>
          <w:sz w:val="20"/>
        </w:rPr>
        <w:t xml:space="preserve">*All AI-generated output in this pack is </w:t>
      </w:r>
      <w:r>
        <w:rPr>
          <w:b/>
          <w:sz w:val="20"/>
        </w:rPr>
        <w:t>DRAFT requiring human review</w:t>
      </w:r>
      <w:r>
        <w:rPr>
          <w:sz w:val="20"/>
        </w:rPr>
        <w:t xml:space="preserve"> by the roles below before use as formal evidence (human-in-the-loop oversight, URS-AI-051). This pack does not self-certify.*</w:t>
      </w:r>
    </w:p>
    <w:tbl>
      <w:tblPr>
        <w:tblStyle w:val="LightGrid-Accent1"/>
        <w:tblW w:type="auto" w:w="0"/>
        <w:tblLayout w:type="autofit"/>
        <w:tblLook w:firstColumn="1" w:firstRow="1" w:lastColumn="0" w:lastRow="0" w:noHBand="0" w:noVBand="1" w:val="04A0"/>
      </w:tblPr>
      <w:tblGrid>
        <w:gridCol w:w="3528"/>
        <w:gridCol w:w="3528"/>
        <w:gridCol w:w="3528"/>
        <w:gridCol w:w="3528"/>
      </w:tblGrid>
      <w:tr>
        <w:tc>
          <w:tcPr>
            <w:tcW w:type="dxa" w:w="3528"/>
            <w:shd w:val="clear" w:fill="276BB2"/>
          </w:tcPr>
          <w:p>
            <w:r/>
            <w:r>
              <w:rPr>
                <w:b/>
                <w:color w:val="FFFFFF"/>
                <w:sz w:val="18"/>
              </w:rPr>
              <w:t>Role</w:t>
            </w:r>
          </w:p>
        </w:tc>
        <w:tc>
          <w:tcPr>
            <w:tcW w:type="dxa" w:w="3528"/>
            <w:shd w:val="clear" w:fill="276BB2"/>
          </w:tcPr>
          <w:p>
            <w:r/>
            <w:r>
              <w:rPr>
                <w:b/>
                <w:color w:val="FFFFFF"/>
                <w:sz w:val="18"/>
              </w:rPr>
              <w:t>Name</w:t>
            </w:r>
          </w:p>
        </w:tc>
        <w:tc>
          <w:tcPr>
            <w:tcW w:type="dxa" w:w="3528"/>
            <w:shd w:val="clear" w:fill="276BB2"/>
          </w:tcPr>
          <w:p>
            <w:r/>
            <w:r>
              <w:rPr>
                <w:b/>
                <w:color w:val="FFFFFF"/>
                <w:sz w:val="18"/>
              </w:rPr>
              <w:t>Signature</w:t>
            </w:r>
          </w:p>
        </w:tc>
        <w:tc>
          <w:tcPr>
            <w:tcW w:type="dxa" w:w="3528"/>
            <w:shd w:val="clear" w:fill="276BB2"/>
          </w:tcPr>
          <w:p>
            <w:r/>
            <w:r>
              <w:rPr>
                <w:b/>
                <w:color w:val="FFFFFF"/>
                <w:sz w:val="18"/>
              </w:rPr>
              <w:t>Date</w:t>
            </w:r>
          </w:p>
        </w:tc>
      </w:tr>
      <w:tr>
        <w:tc>
          <w:tcPr>
            <w:tcW w:type="dxa" w:w="3528"/>
          </w:tcPr>
          <w:p>
            <w:r/>
            <w:r>
              <w:rPr>
                <w:sz w:val="18"/>
              </w:rPr>
              <w:t>Author</w:t>
            </w:r>
          </w:p>
        </w:tc>
        <w:tc>
          <w:tcPr>
            <w:tcW w:type="dxa" w:w="3528"/>
          </w:tcPr>
          <w:p>
            <w:r/>
            <w:r>
              <w:rPr>
                <w:sz w:val="18"/>
              </w:rPr>
              <w:t>ParaQualis qualification engine (AI-generated DRAFT)</w:t>
            </w:r>
          </w:p>
        </w:tc>
        <w:tc>
          <w:tcPr>
            <w:tcW w:type="dxa" w:w="3528"/>
          </w:tcPr>
          <w:p>
            <w:r/>
            <w:r>
              <w:rPr>
                <w:sz w:val="18"/>
              </w:rPr>
              <w:t>_unsigned_</w:t>
            </w:r>
          </w:p>
        </w:tc>
        <w:tc>
          <w:tcPr>
            <w:tcW w:type="dxa" w:w="3528"/>
          </w:tcPr>
          <w:p>
            <w:r/>
          </w:p>
        </w:tc>
      </w:tr>
      <w:tr>
        <w:tc>
          <w:tcPr>
            <w:tcW w:type="dxa" w:w="3528"/>
          </w:tcPr>
          <w:p>
            <w:r/>
            <w:r>
              <w:rPr>
                <w:sz w:val="18"/>
              </w:rPr>
              <w:t>Reviewer</w:t>
            </w:r>
          </w:p>
        </w:tc>
        <w:tc>
          <w:tcPr>
            <w:tcW w:type="dxa" w:w="3528"/>
          </w:tcPr>
          <w:p>
            <w:r/>
          </w:p>
        </w:tc>
        <w:tc>
          <w:tcPr>
            <w:tcW w:type="dxa" w:w="3528"/>
          </w:tcPr>
          <w:p>
            <w:r/>
            <w:r>
              <w:rPr>
                <w:sz w:val="18"/>
              </w:rPr>
              <w:t>_unsigned_</w:t>
            </w:r>
          </w:p>
        </w:tc>
        <w:tc>
          <w:tcPr>
            <w:tcW w:type="dxa" w:w="3528"/>
          </w:tcPr>
          <w:p>
            <w:r/>
          </w:p>
        </w:tc>
      </w:tr>
      <w:tr>
        <w:tc>
          <w:tcPr>
            <w:tcW w:type="dxa" w:w="3528"/>
          </w:tcPr>
          <w:p>
            <w:r/>
            <w:r>
              <w:rPr>
                <w:sz w:val="18"/>
              </w:rPr>
              <w:t>QA Approver</w:t>
            </w:r>
          </w:p>
        </w:tc>
        <w:tc>
          <w:tcPr>
            <w:tcW w:type="dxa" w:w="3528"/>
          </w:tcPr>
          <w:p>
            <w:r/>
          </w:p>
        </w:tc>
        <w:tc>
          <w:tcPr>
            <w:tcW w:type="dxa" w:w="3528"/>
          </w:tcPr>
          <w:p>
            <w:r/>
            <w:r>
              <w:rPr>
                <w:sz w:val="18"/>
              </w:rPr>
              <w:t>_unsigned_</w:t>
            </w:r>
          </w:p>
        </w:tc>
        <w:tc>
          <w:tcPr>
            <w:tcW w:type="dxa" w:w="3528"/>
          </w:tcPr>
          <w:p>
            <w:r/>
          </w:p>
        </w:tc>
      </w:tr>
    </w:tbl>
    <w:p>
      <w:r>
        <w:rPr>
          <w:sz w:val="20"/>
        </w:rPr>
        <w:t xml:space="preserve">*This Performance Qualification is a DRAFT generated by a GxP-impacting AI tool to accelerate qualification evidence. It is </w:t>
      </w:r>
      <w:r>
        <w:rPr>
          <w:b/>
          <w:sz w:val="20"/>
        </w:rPr>
        <w:t>not</w:t>
      </w:r>
      <w:r>
        <w:rPr>
          <w:sz w:val="20"/>
        </w:rPr>
        <w:t xml:space="preserve"> controlled or relied-upon evidence until reviewed, corrected, executed, and approved by appropriately qualified and authorized personnel. Every test-case traces to the DRAFT URS and is pending owner confirmation.*</w:t>
      </w:r>
    </w:p>
    <w:p>
      <w:pPr>
        <w:keepNext/>
        <w:spacing w:before="200" w:after="80"/>
      </w:pPr>
      <w:r>
        <w:rPr>
          <w:b/>
          <w:color w:val="276BB2"/>
          <w:sz w:val="28"/>
        </w:rPr>
        <w:t>Version history</w:t>
      </w:r>
    </w:p>
    <w:p>
      <w:r>
        <w:rPr>
          <w:sz w:val="20"/>
        </w:rPr>
        <w:t>*Document control for this pack is by approval sign-off (above) and the version summary below; a separate audit log is not maintained for these documents.*</w:t>
      </w:r>
    </w:p>
    <w:tbl>
      <w:tblPr>
        <w:tblStyle w:val="LightGrid-Accent1"/>
        <w:tblW w:type="auto" w:w="0"/>
        <w:tblLayout w:type="autofit"/>
        <w:tblLook w:firstColumn="1" w:firstRow="1" w:lastColumn="0" w:lastRow="0" w:noHBand="0" w:noVBand="1" w:val="04A0"/>
      </w:tblPr>
      <w:tblGrid>
        <w:gridCol w:w="3528"/>
        <w:gridCol w:w="3528"/>
        <w:gridCol w:w="3528"/>
        <w:gridCol w:w="3528"/>
      </w:tblGrid>
      <w:tr>
        <w:tc>
          <w:tcPr>
            <w:tcW w:type="dxa" w:w="3528"/>
            <w:shd w:val="clear" w:fill="276BB2"/>
          </w:tcPr>
          <w:p>
            <w:r/>
            <w:r>
              <w:rPr>
                <w:b/>
                <w:color w:val="FFFFFF"/>
                <w:sz w:val="18"/>
              </w:rPr>
              <w:t>Version</w:t>
            </w:r>
          </w:p>
        </w:tc>
        <w:tc>
          <w:tcPr>
            <w:tcW w:type="dxa" w:w="3528"/>
            <w:shd w:val="clear" w:fill="276BB2"/>
          </w:tcPr>
          <w:p>
            <w:r/>
            <w:r>
              <w:rPr>
                <w:b/>
                <w:color w:val="FFFFFF"/>
                <w:sz w:val="18"/>
              </w:rPr>
              <w:t>Date</w:t>
            </w:r>
          </w:p>
        </w:tc>
        <w:tc>
          <w:tcPr>
            <w:tcW w:type="dxa" w:w="3528"/>
            <w:shd w:val="clear" w:fill="276BB2"/>
          </w:tcPr>
          <w:p>
            <w:r/>
            <w:r>
              <w:rPr>
                <w:b/>
                <w:color w:val="FFFFFF"/>
                <w:sz w:val="18"/>
              </w:rPr>
              <w:t>Author</w:t>
            </w:r>
          </w:p>
        </w:tc>
        <w:tc>
          <w:tcPr>
            <w:tcW w:type="dxa" w:w="3528"/>
            <w:shd w:val="clear" w:fill="276BB2"/>
          </w:tcPr>
          <w:p>
            <w:r/>
            <w:r>
              <w:rPr>
                <w:b/>
                <w:color w:val="FFFFFF"/>
                <w:sz w:val="18"/>
              </w:rPr>
              <w:t>Summary of changes</w:t>
            </w:r>
          </w:p>
        </w:tc>
      </w:tr>
      <w:tr>
        <w:tc>
          <w:tcPr>
            <w:tcW w:type="dxa" w:w="3528"/>
          </w:tcPr>
          <w:p>
            <w:r/>
            <w:r>
              <w:rPr>
                <w:sz w:val="18"/>
              </w:rPr>
              <w:t>0.1 (DRAFT)</w:t>
            </w:r>
          </w:p>
        </w:tc>
        <w:tc>
          <w:tcPr>
            <w:tcW w:type="dxa" w:w="3528"/>
          </w:tcPr>
          <w:p>
            <w:r/>
            <w:r>
              <w:rPr>
                <w:sz w:val="18"/>
              </w:rPr>
              <w:t>2026-06-14</w:t>
            </w:r>
          </w:p>
        </w:tc>
        <w:tc>
          <w:tcPr>
            <w:tcW w:type="dxa" w:w="3528"/>
          </w:tcPr>
          <w:p>
            <w:r/>
            <w:r>
              <w:rPr>
                <w:sz w:val="18"/>
              </w:rPr>
              <w:t>ParaQualis qualification engine</w:t>
            </w:r>
          </w:p>
        </w:tc>
        <w:tc>
          <w:tcPr>
            <w:tcW w:type="dxa" w:w="3528"/>
          </w:tcPr>
          <w:p>
            <w:r/>
            <w:r>
              <w:rPr>
                <w:sz w:val="18"/>
              </w:rPr>
              <w:t>Initial draft generated by `/qualify:build`.</w:t>
            </w:r>
          </w:p>
        </w:tc>
      </w:tr>
      <w:tr>
        <w:tc>
          <w:tcPr>
            <w:tcW w:type="dxa" w:w="3528"/>
          </w:tcPr>
          <w:p>
            <w:r/>
            <w:r>
              <w:rPr>
                <w:sz w:val="18"/>
              </w:rPr>
              <w:t>0.2 (DRAFT)</w:t>
            </w:r>
          </w:p>
        </w:tc>
        <w:tc>
          <w:tcPr>
            <w:tcW w:type="dxa" w:w="3528"/>
          </w:tcPr>
          <w:p>
            <w:r/>
            <w:r>
              <w:rPr>
                <w:sz w:val="18"/>
              </w:rPr>
              <w:t>2026-06-17</w:t>
            </w:r>
          </w:p>
        </w:tc>
        <w:tc>
          <w:tcPr>
            <w:tcW w:type="dxa" w:w="3528"/>
          </w:tcPr>
          <w:p>
            <w:r/>
            <w:r>
              <w:rPr>
                <w:sz w:val="18"/>
              </w:rPr>
              <w:t>ParaQualis qualification engine</w:t>
            </w:r>
          </w:p>
        </w:tc>
        <w:tc>
          <w:tcPr>
            <w:tcW w:type="dxa" w:w="3528"/>
          </w:tcPr>
          <w:p>
            <w:r/>
            <w:r>
              <w:rPr>
                <w:sz w:val="18"/>
              </w:rPr>
              <w:t>Added version-history section.</w:t>
            </w:r>
          </w:p>
        </w:tc>
      </w:tr>
      <w:tr>
        <w:tc>
          <w:tcPr>
            <w:tcW w:type="dxa" w:w="3528"/>
          </w:tcPr>
          <w:p>
            <w:r/>
            <w:r>
              <w:rPr>
                <w:sz w:val="18"/>
              </w:rPr>
              <w:t>0.5 (DRAFT)</w:t>
            </w:r>
          </w:p>
        </w:tc>
        <w:tc>
          <w:tcPr>
            <w:tcW w:type="dxa" w:w="3528"/>
          </w:tcPr>
          <w:p>
            <w:r/>
            <w:r>
              <w:rPr>
                <w:sz w:val="18"/>
              </w:rPr>
              <w:t>2026-06-17</w:t>
            </w:r>
          </w:p>
        </w:tc>
        <w:tc>
          <w:tcPr>
            <w:tcW w:type="dxa" w:w="3528"/>
          </w:tcPr>
          <w:p>
            <w:r/>
            <w:r>
              <w:rPr>
                <w:sz w:val="18"/>
              </w:rPr>
              <w:t>ParaQualis qualification engine</w:t>
            </w:r>
          </w:p>
        </w:tc>
        <w:tc>
          <w:tcPr>
            <w:tcW w:type="dxa" w:w="3528"/>
          </w:tcPr>
          <w:p>
            <w:r/>
            <w:r>
              <w:rPr>
                <w:sz w:val="18"/>
              </w:rPr>
              <w:t xml:space="preserve">PQ-031 (server-side logging) and PQ-062 (dependency manifest) re-run </w:t>
            </w:r>
            <w:r>
              <w:rPr>
                <w:b/>
                <w:sz w:val="18"/>
              </w:rPr>
              <w:t>PASS</w:t>
            </w:r>
            <w:r>
              <w:rPr>
                <w:sz w:val="18"/>
              </w:rPr>
              <w:t xml:space="preserve"> after GIQ-007/GIQ-001 remediation.</w:t>
            </w:r>
          </w:p>
        </w:tc>
      </w:tr>
    </w:tbl>
    <w:sectPr w:rsidR="00FC693F" w:rsidRPr="0006063C" w:rsidSect="00034616">
      <w:pgSz w:w="15840" w:h="12240" w:orient="landscape"/>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PQ</dc:title>
  <dc:subject/>
  <dc:creator>ParaQualis LLC</dc:creator>
  <cp:keywords/>
  <dc:description>generated by python-docx</dc:description>
  <cp:lastModifiedBy>ParaQualis LLC</cp:lastModifiedBy>
  <cp:revision>1</cp:revision>
  <dcterms:created xsi:type="dcterms:W3CDTF">2013-12-23T23:15:00Z</dcterms:created>
  <dcterms:modified xsi:type="dcterms:W3CDTF">2013-12-23T23:15:00Z</dcterms:modified>
  <cp:category/>
</cp:coreProperties>
</file>