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Activity 1.4: Social and Business Impact</w:t>
      </w:r>
    </w:p>
    <w:p>
      <w:pPr>
        <w:spacing w:after="300"/>
      </w:pPr>
      <w:r>
        <w:rPr>
          <w:rFonts w:ascii="Arial" w:cs="Arial" w:eastAsia="Arial" w:hAnsi="Arial"/>
          <w:i/>
          <w:iCs/>
          <w:color w:val="555555"/>
          <w:sz w:val="24"/>
          <w:szCs w:val="24"/>
        </w:rPr>
        <w:t xml:space="preserve">FraudShield — Insurance Fraud Detection System</w:t>
      </w:r>
    </w:p>
    <w:p>
      <w:pPr>
        <w:pStyle w:val="Heading1"/>
        <w:spacing w:before="300" w:after="140"/>
      </w:pPr>
      <w:r>
        <w:rPr>
          <w:rFonts w:ascii="Arial" w:cs="Arial" w:eastAsia="Arial" w:hAnsi="Arial"/>
          <w:b/>
          <w:bCs/>
          <w:sz w:val="32"/>
          <w:szCs w:val="32"/>
        </w:rPr>
        <w:t xml:space="preserve">1. Introduction</w:t>
      </w:r>
    </w:p>
    <w:p>
      <w:pPr>
        <w:spacing w:after="120"/>
        <w:jc w:val="both"/>
      </w:pPr>
      <w:r>
        <w:rPr>
          <w:rFonts w:ascii="Arial" w:cs="Arial" w:eastAsia="Arial" w:hAnsi="Arial"/>
          <w:sz w:val="22"/>
          <w:szCs w:val="22"/>
        </w:rPr>
        <w:t xml:space="preserve">This document analyzes the broader impact of deploying an AI-powered insurance fraud detection system like FraudShield. The analysis covers business benefits, social effects, and ethical responsibilities associated with automated fraud detection.</w:t>
      </w:r>
    </w:p>
    <w:p>
      <w:pPr>
        <w:spacing w:after="100"/>
      </w:pPr>
      <w:r>
        <w:t xml:space="preserve"/>
      </w:r>
    </w:p>
    <w:p>
      <w:pPr>
        <w:pStyle w:val="Heading1"/>
        <w:spacing w:before="300" w:after="140"/>
      </w:pPr>
      <w:r>
        <w:rPr>
          <w:rFonts w:ascii="Arial" w:cs="Arial" w:eastAsia="Arial" w:hAnsi="Arial"/>
          <w:b/>
          <w:bCs/>
          <w:sz w:val="32"/>
          <w:szCs w:val="32"/>
        </w:rPr>
        <w:t xml:space="preserve">2. Business Impact</w:t>
      </w:r>
    </w:p>
    <w:p>
      <w:pPr>
        <w:pStyle w:val="Heading2"/>
        <w:spacing w:before="200" w:after="100"/>
      </w:pPr>
      <w:r>
        <w:rPr>
          <w:rFonts w:ascii="Arial" w:cs="Arial" w:eastAsia="Arial" w:hAnsi="Arial"/>
          <w:b/>
          <w:bCs/>
          <w:sz w:val="26"/>
          <w:szCs w:val="26"/>
        </w:rPr>
        <w:t xml:space="preserve">2.1 Financial Benefits</w:t>
      </w:r>
    </w:p>
    <w:p>
      <w:pPr>
        <w:spacing w:after="120"/>
        <w:jc w:val="both"/>
      </w:pPr>
      <w:r>
        <w:rPr>
          <w:rFonts w:ascii="Arial" w:cs="Arial" w:eastAsia="Arial" w:hAnsi="Arial"/>
          <w:sz w:val="22"/>
          <w:szCs w:val="22"/>
        </w:rPr>
        <w:t xml:space="preserve">The most direct business benefit of automated fraud detection is the reduction in fraudulent payouts. Based on the insuranceFraud_Dataset where 24.7% of claims are fraudulent: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rate in dataset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24.7%  (247 of 1,000 claims)</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detection accuracy</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81.00%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Fraud cases correctly identified</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Approximately 200 of 247 fraud cases</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fraudulent payout</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 to $50,000</w:t>
            </w:r>
          </w:p>
        </w:tc>
      </w:tr>
      <w:tr>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Estimated savings per 1,000 claims</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million to $10 million</w:t>
            </w:r>
          </w:p>
        </w:tc>
      </w:tr>
      <w:tr>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Reduction in investigation cost</w:t>
            </w:r>
          </w:p>
        </w:tc>
        <w:tc>
          <w:tcPr>
            <w:tcW w:type="dxa" w:w="4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60 to 80 percent through automation</w:t>
            </w:r>
          </w:p>
        </w:tc>
      </w:tr>
    </w:tbl>
    <w:p>
      <w:pPr>
        <w:spacing w:after="100"/>
      </w:pPr>
      <w:r>
        <w:t xml:space="preserve"/>
      </w:r>
    </w:p>
    <w:p>
      <w:pPr>
        <w:pStyle w:val="Heading2"/>
        <w:spacing w:before="200" w:after="100"/>
      </w:pPr>
      <w:r>
        <w:rPr>
          <w:rFonts w:ascii="Arial" w:cs="Arial" w:eastAsia="Arial" w:hAnsi="Arial"/>
          <w:b/>
          <w:bCs/>
          <w:sz w:val="26"/>
          <w:szCs w:val="26"/>
        </w:rPr>
        <w:t xml:space="preserve">2.2 Operational Benefits</w:t>
      </w:r>
    </w:p>
    <w:p>
      <w:pPr>
        <w:pStyle w:val="ListParagraph"/>
        <w:numPr>
          <w:ilvl w:val="0"/>
          <w:numId w:val="2"/>
        </w:numPr>
        <w:spacing w:after="80"/>
      </w:pPr>
      <w:r>
        <w:rPr>
          <w:rFonts w:ascii="Arial" w:cs="Arial" w:eastAsia="Arial" w:hAnsi="Arial"/>
          <w:sz w:val="22"/>
          <w:szCs w:val="22"/>
        </w:rPr>
        <w:t xml:space="preserve">Speed — automated prediction takes milliseconds instead of days or weeks</w:t>
      </w:r>
    </w:p>
    <w:p>
      <w:pPr>
        <w:pStyle w:val="ListParagraph"/>
        <w:numPr>
          <w:ilvl w:val="0"/>
          <w:numId w:val="2"/>
        </w:numPr>
        <w:spacing w:after="80"/>
      </w:pPr>
      <w:r>
        <w:rPr>
          <w:rFonts w:ascii="Arial" w:cs="Arial" w:eastAsia="Arial" w:hAnsi="Arial"/>
          <w:sz w:val="22"/>
          <w:szCs w:val="22"/>
        </w:rPr>
        <w:t xml:space="preserve">Scalability — handles growing claim volumes without proportional increase in staff</w:t>
      </w:r>
    </w:p>
    <w:p>
      <w:pPr>
        <w:pStyle w:val="ListParagraph"/>
        <w:numPr>
          <w:ilvl w:val="0"/>
          <w:numId w:val="2"/>
        </w:numPr>
        <w:spacing w:after="80"/>
      </w:pPr>
      <w:r>
        <w:rPr>
          <w:rFonts w:ascii="Arial" w:cs="Arial" w:eastAsia="Arial" w:hAnsi="Arial"/>
          <w:sz w:val="22"/>
          <w:szCs w:val="22"/>
        </w:rPr>
        <w:t xml:space="preserve">Consistency — every claim is evaluated using exactly the same criteria</w:t>
      </w:r>
    </w:p>
    <w:p>
      <w:pPr>
        <w:pStyle w:val="ListParagraph"/>
        <w:numPr>
          <w:ilvl w:val="0"/>
          <w:numId w:val="2"/>
        </w:numPr>
        <w:spacing w:after="80"/>
      </w:pPr>
      <w:r>
        <w:rPr>
          <w:rFonts w:ascii="Arial" w:cs="Arial" w:eastAsia="Arial" w:hAnsi="Arial"/>
          <w:sz w:val="22"/>
          <w:szCs w:val="22"/>
        </w:rPr>
        <w:t xml:space="preserve">Prioritization — high-risk claims are automatically flagged for human review</w:t>
      </w:r>
    </w:p>
    <w:p>
      <w:pPr>
        <w:spacing w:after="100"/>
      </w:pPr>
      <w:r>
        <w:t xml:space="preserve"/>
      </w:r>
    </w:p>
    <w:p>
      <w:pPr>
        <w:pStyle w:val="Heading2"/>
        <w:spacing w:before="200" w:after="100"/>
      </w:pPr>
      <w:r>
        <w:rPr>
          <w:rFonts w:ascii="Arial" w:cs="Arial" w:eastAsia="Arial" w:hAnsi="Arial"/>
          <w:b/>
          <w:bCs/>
          <w:sz w:val="26"/>
          <w:szCs w:val="26"/>
        </w:rPr>
        <w:t xml:space="preserve">2.3 Competitive Advantage</w:t>
      </w:r>
    </w:p>
    <w:p>
      <w:pPr>
        <w:pStyle w:val="ListParagraph"/>
        <w:numPr>
          <w:ilvl w:val="0"/>
          <w:numId w:val="2"/>
        </w:numPr>
        <w:spacing w:after="80"/>
      </w:pPr>
      <w:r>
        <w:rPr>
          <w:rFonts w:ascii="Arial" w:cs="Arial" w:eastAsia="Arial" w:hAnsi="Arial"/>
          <w:sz w:val="22"/>
          <w:szCs w:val="22"/>
        </w:rPr>
        <w:t xml:space="preserve">Lower premiums for honest policyholders due to reduced fraud losses</w:t>
      </w:r>
    </w:p>
    <w:p>
      <w:pPr>
        <w:pStyle w:val="ListParagraph"/>
        <w:numPr>
          <w:ilvl w:val="0"/>
          <w:numId w:val="2"/>
        </w:numPr>
        <w:spacing w:after="80"/>
      </w:pPr>
      <w:r>
        <w:rPr>
          <w:rFonts w:ascii="Arial" w:cs="Arial" w:eastAsia="Arial" w:hAnsi="Arial"/>
          <w:sz w:val="22"/>
          <w:szCs w:val="22"/>
        </w:rPr>
        <w:t xml:space="preserve">Faster settlement for legitimate claims, improving customer satisfaction</w:t>
      </w:r>
    </w:p>
    <w:p>
      <w:pPr>
        <w:pStyle w:val="ListParagraph"/>
        <w:numPr>
          <w:ilvl w:val="0"/>
          <w:numId w:val="2"/>
        </w:numPr>
        <w:spacing w:after="80"/>
      </w:pPr>
      <w:r>
        <w:rPr>
          <w:rFonts w:ascii="Arial" w:cs="Arial" w:eastAsia="Arial" w:hAnsi="Arial"/>
          <w:sz w:val="22"/>
          <w:szCs w:val="22"/>
        </w:rPr>
        <w:t xml:space="preserve">Better financial performance, reducing the combined ratio for the insurer</w:t>
      </w:r>
    </w:p>
    <w:p>
      <w:pPr>
        <w:spacing w:after="100"/>
      </w:pPr>
      <w:r>
        <w:t xml:space="preserve"/>
      </w:r>
    </w:p>
    <w:p>
      <w:pPr>
        <w:pStyle w:val="Heading1"/>
        <w:spacing w:before="300" w:after="140"/>
      </w:pPr>
      <w:r>
        <w:rPr>
          <w:rFonts w:ascii="Arial" w:cs="Arial" w:eastAsia="Arial" w:hAnsi="Arial"/>
          <w:b/>
          <w:bCs/>
          <w:sz w:val="32"/>
          <w:szCs w:val="32"/>
        </w:rPr>
        <w:t xml:space="preserve">3. Social Impact</w:t>
      </w:r>
    </w:p>
    <w:p>
      <w:pPr>
        <w:pStyle w:val="Heading2"/>
        <w:spacing w:before="200" w:after="100"/>
      </w:pPr>
      <w:r>
        <w:rPr>
          <w:rFonts w:ascii="Arial" w:cs="Arial" w:eastAsia="Arial" w:hAnsi="Arial"/>
          <w:b/>
          <w:bCs/>
          <w:sz w:val="26"/>
          <w:szCs w:val="26"/>
        </w:rPr>
        <w:t xml:space="preserve">3.1 Impact on Honest Policyholders</w:t>
      </w:r>
    </w:p>
    <w:p>
      <w:pPr>
        <w:spacing w:after="120"/>
        <w:jc w:val="both"/>
      </w:pPr>
      <w:r>
        <w:rPr>
          <w:rFonts w:ascii="Arial" w:cs="Arial" w:eastAsia="Arial" w:hAnsi="Arial"/>
          <w:sz w:val="22"/>
          <w:szCs w:val="22"/>
        </w:rPr>
        <w:t xml:space="preserve">Insurance fraud is not a victimless crime. Every fraudulent claim that is paid out is ultimately covered by raising premiums for all policyholders. By reducing fraud, FraudShield helps create a more equitable insurance system where honest customers do not pay for the dishonesty of others.</w:t>
      </w:r>
    </w:p>
    <w:p>
      <w:pPr>
        <w:pStyle w:val="Heading2"/>
        <w:spacing w:before="200" w:after="100"/>
      </w:pPr>
      <w:r>
        <w:rPr>
          <w:rFonts w:ascii="Arial" w:cs="Arial" w:eastAsia="Arial" w:hAnsi="Arial"/>
          <w:b/>
          <w:bCs/>
          <w:sz w:val="26"/>
          <w:szCs w:val="26"/>
        </w:rPr>
        <w:t xml:space="preserve">3.2 Impact on Employees</w:t>
      </w:r>
    </w:p>
    <w:p>
      <w:pPr>
        <w:pStyle w:val="ListParagraph"/>
        <w:numPr>
          <w:ilvl w:val="0"/>
          <w:numId w:val="2"/>
        </w:numPr>
        <w:spacing w:after="80"/>
      </w:pPr>
      <w:r>
        <w:rPr>
          <w:rFonts w:ascii="Arial" w:cs="Arial" w:eastAsia="Arial" w:hAnsi="Arial"/>
          <w:sz w:val="22"/>
          <w:szCs w:val="22"/>
        </w:rPr>
        <w:t xml:space="preserve">Claims investigators shift from routine reviews to complex high-risk cases requiring human judgment</w:t>
      </w:r>
    </w:p>
    <w:p>
      <w:pPr>
        <w:pStyle w:val="ListParagraph"/>
        <w:numPr>
          <w:ilvl w:val="0"/>
          <w:numId w:val="2"/>
        </w:numPr>
        <w:spacing w:after="80"/>
      </w:pPr>
      <w:r>
        <w:rPr>
          <w:rFonts w:ascii="Arial" w:cs="Arial" w:eastAsia="Arial" w:hAnsi="Arial"/>
          <w:sz w:val="22"/>
          <w:szCs w:val="22"/>
        </w:rPr>
        <w:t xml:space="preserve">Special Investigation Units become more effective when AI handles volume screening</w:t>
      </w:r>
    </w:p>
    <w:p>
      <w:pPr>
        <w:pStyle w:val="ListParagraph"/>
        <w:numPr>
          <w:ilvl w:val="0"/>
          <w:numId w:val="2"/>
        </w:numPr>
        <w:spacing w:after="80"/>
      </w:pPr>
      <w:r>
        <w:rPr>
          <w:rFonts w:ascii="Arial" w:cs="Arial" w:eastAsia="Arial" w:hAnsi="Arial"/>
          <w:sz w:val="22"/>
          <w:szCs w:val="22"/>
        </w:rPr>
        <w:t xml:space="preserve">New technical roles are created for maintaining and improving the machine learning models</w:t>
      </w:r>
    </w:p>
    <w:p>
      <w:pPr>
        <w:spacing w:after="120"/>
        <w:jc w:val="both"/>
      </w:pPr>
      <w:r>
        <w:rPr>
          <w:rFonts w:ascii="Arial" w:cs="Arial" w:eastAsia="Arial" w:hAnsi="Arial"/>
          <w:sz w:val="22"/>
          <w:szCs w:val="22"/>
        </w:rPr>
        <w:t xml:space="preserve">FraudShield is designed as a decision support tool. All flagged claims still go through human review before any denial decision is made.</w:t>
      </w:r>
    </w:p>
    <w:p>
      <w:pPr>
        <w:spacing w:after="100"/>
      </w:pPr>
      <w:r>
        <w:t xml:space="preserve"/>
      </w:r>
    </w:p>
    <w:p>
      <w:pPr>
        <w:pStyle w:val="Heading2"/>
        <w:spacing w:before="200" w:after="100"/>
      </w:pPr>
      <w:r>
        <w:rPr>
          <w:rFonts w:ascii="Arial" w:cs="Arial" w:eastAsia="Arial" w:hAnsi="Arial"/>
          <w:b/>
          <w:bCs/>
          <w:sz w:val="26"/>
          <w:szCs w:val="26"/>
        </w:rPr>
        <w:t xml:space="preserve">3.3 General Social Benefits</w:t>
      </w:r>
    </w:p>
    <w:p>
      <w:pPr>
        <w:pStyle w:val="ListParagraph"/>
        <w:numPr>
          <w:ilvl w:val="0"/>
          <w:numId w:val="2"/>
        </w:numPr>
        <w:spacing w:after="80"/>
      </w:pPr>
      <w:r>
        <w:rPr>
          <w:rFonts w:ascii="Arial" w:cs="Arial" w:eastAsia="Arial" w:hAnsi="Arial"/>
          <w:sz w:val="22"/>
          <w:szCs w:val="22"/>
        </w:rPr>
        <w:t xml:space="preserve">Reduces financial crime in the insurance sector</w:t>
      </w:r>
    </w:p>
    <w:p>
      <w:pPr>
        <w:pStyle w:val="ListParagraph"/>
        <w:numPr>
          <w:ilvl w:val="0"/>
          <w:numId w:val="2"/>
        </w:numPr>
        <w:spacing w:after="80"/>
      </w:pPr>
      <w:r>
        <w:rPr>
          <w:rFonts w:ascii="Arial" w:cs="Arial" w:eastAsia="Arial" w:hAnsi="Arial"/>
          <w:sz w:val="22"/>
          <w:szCs w:val="22"/>
        </w:rPr>
        <w:t xml:space="preserve">Faster legitimate claim settlement improves quality of life for accident victims</w:t>
      </w:r>
    </w:p>
    <w:p>
      <w:pPr>
        <w:pStyle w:val="ListParagraph"/>
        <w:numPr>
          <w:ilvl w:val="0"/>
          <w:numId w:val="2"/>
        </w:numPr>
        <w:spacing w:after="80"/>
      </w:pPr>
      <w:r>
        <w:rPr>
          <w:rFonts w:ascii="Arial" w:cs="Arial" w:eastAsia="Arial" w:hAnsi="Arial"/>
          <w:sz w:val="22"/>
          <w:szCs w:val="22"/>
        </w:rPr>
        <w:t xml:space="preserve">More affordable coverage becomes possible when fraud losses are reduced</w:t>
      </w:r>
    </w:p>
    <w:p>
      <w:pPr>
        <w:spacing w:after="100"/>
      </w:pPr>
      <w:r>
        <w:t xml:space="preserve"/>
      </w:r>
    </w:p>
    <w:p>
      <w:pPr>
        <w:pStyle w:val="Heading1"/>
        <w:spacing w:before="300" w:after="140"/>
      </w:pPr>
      <w:r>
        <w:rPr>
          <w:rFonts w:ascii="Arial" w:cs="Arial" w:eastAsia="Arial" w:hAnsi="Arial"/>
          <w:b/>
          <w:bCs/>
          <w:sz w:val="32"/>
          <w:szCs w:val="32"/>
        </w:rPr>
        <w:t xml:space="preserve">4. Ethical Considerations</w:t>
      </w:r>
    </w:p>
    <w:p>
      <w:pPr>
        <w:pStyle w:val="Heading2"/>
        <w:spacing w:before="200" w:after="100"/>
      </w:pPr>
      <w:r>
        <w:rPr>
          <w:rFonts w:ascii="Arial" w:cs="Arial" w:eastAsia="Arial" w:hAnsi="Arial"/>
          <w:b/>
          <w:bCs/>
          <w:sz w:val="26"/>
          <w:szCs w:val="26"/>
        </w:rPr>
        <w:t xml:space="preserve">4.1 Algorithmic Bias</w:t>
      </w:r>
    </w:p>
    <w:p>
      <w:pPr>
        <w:spacing w:after="120"/>
        <w:jc w:val="both"/>
      </w:pPr>
      <w:r>
        <w:rPr>
          <w:rFonts w:ascii="Arial" w:cs="Arial" w:eastAsia="Arial" w:hAnsi="Arial"/>
          <w:sz w:val="22"/>
          <w:szCs w:val="22"/>
        </w:rPr>
        <w:t xml:space="preserve">The model uses features such as insured_sex, insured_occupation, and insured_education_level. Before production deployment, the model must be tested to ensure it does not unfairly flag claims from any particular demographic group. If historical data reflects past biases, the model may learn to replicate those biases.</w:t>
      </w:r>
    </w:p>
    <w:p>
      <w:pPr>
        <w:pStyle w:val="Heading2"/>
        <w:spacing w:before="200" w:after="100"/>
      </w:pPr>
      <w:r>
        <w:rPr>
          <w:rFonts w:ascii="Arial" w:cs="Arial" w:eastAsia="Arial" w:hAnsi="Arial"/>
          <w:b/>
          <w:bCs/>
          <w:sz w:val="26"/>
          <w:szCs w:val="26"/>
        </w:rPr>
        <w:t xml:space="preserve">4.2 Privacy</w:t>
      </w:r>
    </w:p>
    <w:p>
      <w:pPr>
        <w:pStyle w:val="ListParagraph"/>
        <w:numPr>
          <w:ilvl w:val="0"/>
          <w:numId w:val="2"/>
        </w:numPr>
        <w:spacing w:after="80"/>
      </w:pPr>
      <w:r>
        <w:rPr>
          <w:rFonts w:ascii="Arial" w:cs="Arial" w:eastAsia="Arial" w:hAnsi="Arial"/>
          <w:sz w:val="22"/>
          <w:szCs w:val="22"/>
        </w:rPr>
        <w:t xml:space="preserve">Only claim-relevant data is used — no unnecessary personal information is collected</w:t>
      </w:r>
    </w:p>
    <w:p>
      <w:pPr>
        <w:pStyle w:val="ListParagraph"/>
        <w:numPr>
          <w:ilvl w:val="0"/>
          <w:numId w:val="2"/>
        </w:numPr>
        <w:spacing w:after="80"/>
      </w:pPr>
      <w:r>
        <w:rPr>
          <w:rFonts w:ascii="Arial" w:cs="Arial" w:eastAsia="Arial" w:hAnsi="Arial"/>
          <w:sz w:val="22"/>
          <w:szCs w:val="22"/>
        </w:rPr>
        <w:t xml:space="preserve">All claim data must be encrypted during storage and transmission</w:t>
      </w:r>
    </w:p>
    <w:p>
      <w:pPr>
        <w:pStyle w:val="ListParagraph"/>
        <w:numPr>
          <w:ilvl w:val="0"/>
          <w:numId w:val="2"/>
        </w:numPr>
        <w:spacing w:after="80"/>
      </w:pPr>
      <w:r>
        <w:rPr>
          <w:rFonts w:ascii="Arial" w:cs="Arial" w:eastAsia="Arial" w:hAnsi="Arial"/>
          <w:sz w:val="22"/>
          <w:szCs w:val="22"/>
        </w:rPr>
        <w:t xml:space="preserve">Policyholders should be informed when an automated system is assessing their claim</w:t>
      </w:r>
    </w:p>
    <w:p>
      <w:pPr>
        <w:spacing w:after="100"/>
      </w:pPr>
      <w:r>
        <w:t xml:space="preserve"/>
      </w:r>
    </w:p>
    <w:p>
      <w:pPr>
        <w:pStyle w:val="Heading2"/>
        <w:spacing w:before="200" w:after="100"/>
      </w:pPr>
      <w:r>
        <w:rPr>
          <w:rFonts w:ascii="Arial" w:cs="Arial" w:eastAsia="Arial" w:hAnsi="Arial"/>
          <w:b/>
          <w:bCs/>
          <w:sz w:val="26"/>
          <w:szCs w:val="26"/>
        </w:rPr>
        <w:t xml:space="preserve">4.3 Explainability</w:t>
      </w:r>
    </w:p>
    <w:p>
      <w:pPr>
        <w:spacing w:after="120"/>
        <w:jc w:val="both"/>
      </w:pPr>
      <w:r>
        <w:rPr>
          <w:rFonts w:ascii="Arial" w:cs="Arial" w:eastAsia="Arial" w:hAnsi="Arial"/>
          <w:sz w:val="22"/>
          <w:szCs w:val="22"/>
        </w:rPr>
        <w:t xml:space="preserve">The Decision Tree model selected for FraudShield is fully interpretable. Investigators can trace exactly which feature values led to a fraud prediction. This is important because insurance regulations require that claim decisions can be explained to the claimant if challenged.</w:t>
      </w:r>
    </w:p>
    <w:p>
      <w:pPr>
        <w:spacing w:after="100"/>
      </w:pPr>
      <w:r>
        <w:t xml:space="preserve"/>
      </w:r>
    </w:p>
    <w:p>
      <w:pPr>
        <w:pStyle w:val="Heading1"/>
        <w:spacing w:before="300" w:after="140"/>
      </w:pPr>
      <w:r>
        <w:rPr>
          <w:rFonts w:ascii="Arial" w:cs="Arial" w:eastAsia="Arial" w:hAnsi="Arial"/>
          <w:b/>
          <w:bCs/>
          <w:sz w:val="32"/>
          <w:szCs w:val="32"/>
        </w:rPr>
        <w:t xml:space="preserve">5.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360"/>
            <w:tcBorders>
              <w:top w:val="single" w:color="BBBBBB" w:sz="1"/>
              <w:left w:val="single" w:color="BBBBBB" w:sz="1"/>
              <w:bottom w:val="single" w:color="BBBBBB" w:sz="1"/>
              <w:right w:val="single" w:color="BBBBBB"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positives — legitimate claims wrongly flagged</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 review required before any denial decision</w:t>
            </w:r>
          </w:p>
        </w:tc>
      </w:tr>
      <w:tr>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accuracy decreases over time</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Periodic retraining with new claim data</w:t>
            </w:r>
          </w:p>
        </w:tc>
      </w:tr>
      <w:tr>
        <w:tc>
          <w:tcPr>
            <w:tcW w:type="dxa" w:w="4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Algorithmic bias against a group</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Regular bias audits and demographic parity testing</w:t>
            </w:r>
          </w:p>
        </w:tc>
      </w:tr>
      <w:tr>
        <w:tc>
          <w:tcPr>
            <w:tcW w:type="dxa" w:w="4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breach of sensitive claim data</w:t>
            </w:r>
          </w:p>
        </w:tc>
        <w:tc>
          <w:tcPr>
            <w:tcW w:type="dxa" w:w="53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Encryption, access controls, and audit logs</w:t>
            </w:r>
          </w:p>
        </w:tc>
      </w:tr>
    </w:tbl>
    <w:p>
      <w:pPr>
        <w:spacing w:after="100"/>
      </w:pPr>
      <w:r>
        <w:t xml:space="preserve"/>
      </w:r>
    </w:p>
    <w:p>
      <w:pPr>
        <w:pStyle w:val="Heading1"/>
        <w:spacing w:before="300" w:after="140"/>
      </w:pPr>
      <w:r>
        <w:rPr>
          <w:rFonts w:ascii="Arial" w:cs="Arial" w:eastAsia="Arial" w:hAnsi="Arial"/>
          <w:b/>
          <w:bCs/>
          <w:sz w:val="32"/>
          <w:szCs w:val="32"/>
        </w:rPr>
        <w:t xml:space="preserve">6. Conclusion</w:t>
      </w:r>
    </w:p>
    <w:p>
      <w:pPr>
        <w:spacing w:after="120"/>
        <w:jc w:val="both"/>
      </w:pPr>
      <w:r>
        <w:rPr>
          <w:rFonts w:ascii="Arial" w:cs="Arial" w:eastAsia="Arial" w:hAnsi="Arial"/>
          <w:sz w:val="22"/>
          <w:szCs w:val="22"/>
        </w:rPr>
        <w:t xml:space="preserve">FraudShield has the potential to deliver significant business value by reducing fraud losses and investigation costs for insurance companies. At the same time, it benefits honest policyholders through lower premiums and faster claim settlements. Responsible deployment requires human oversight for all denial decisions, regular bias testing, and strict data privacy protections. The use of an interpretable Decision Tree model ensures that every prediction can be explained and audited when needed.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sz w:val="32"/>
      <w:szCs w:val="32"/>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2026-03-08T11:53:22.771Z</dcterms:created>
  <dcterms:modified xsi:type="dcterms:W3CDTF">2026-03-08T11:53:22.771Z</dcterms:modified>
</cp:coreProperties>
</file>

<file path=docProps/custom.xml><?xml version="1.0" encoding="utf-8"?>
<Properties xmlns="http://schemas.openxmlformats.org/officeDocument/2006/custom-properties" xmlns:vt="http://schemas.openxmlformats.org/officeDocument/2006/docPropsVTypes"/>
</file>