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Times New Roman" w:cs="Times New Roman" w:eastAsia="Times New Roman" w:hAnsi="Times New Roman"/>
          <w:b w:val="false"/>
          <w:bCs w:val="false"/>
          <w:i w:val="false"/>
          <w:iCs w:val="false"/>
          <w:color w:val="111111"/>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none" w:color="FFFFFF" w:sz="0"/>
              <w:left w:val="none" w:color="FFFFFF" w:sz="0"/>
              <w:bottom w:val="none" w:color="FFFFFF" w:sz="0"/>
              <w:right w:val="none" w:color="FFFFFF" w:sz="0"/>
            </w:tcBorders>
            <w:shd w:fill="C9A84C" w:val="clear"/>
            <w:tcMar>
              <w:top w:type="dxa" w:w="60"/>
              <w:left w:type="dxa" w:w="200"/>
              <w:bottom w:type="dxa" w:w="60"/>
              <w:right w:type="dxa" w:w="200"/>
            </w:tcMar>
          </w:tcPr>
          <w:p>
            <w:pPr>
              <w:jc w:val="center"/>
            </w:pPr>
            <w:r>
              <w:rPr>
                <w:rFonts w:ascii="Times New Roman" w:cs="Times New Roman" w:eastAsia="Times New Roman" w:hAnsi="Times New Roman"/>
                <w:b/>
                <w:bCs/>
                <w:i w:val="false"/>
                <w:iCs w:val="false"/>
                <w:color w:val="0D1B2A"/>
                <w:sz w:val="18"/>
                <w:szCs w:val="18"/>
              </w:rPr>
              <w:t xml:space="preserve">HACKATHON SUBMISSION  ·  VIT BHOPAL  ·  2024</w:t>
            </w:r>
          </w:p>
        </w:tc>
      </w:tr>
    </w:tbl>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0"/>
        <w:jc w:val="center"/>
      </w:pPr>
      <w:r>
        <w:rPr>
          <w:rFonts w:ascii="Times New Roman" w:cs="Times New Roman" w:eastAsia="Times New Roman" w:hAnsi="Times New Roman"/>
          <w:b/>
          <w:bCs/>
          <w:i w:val="false"/>
          <w:iCs w:val="false"/>
          <w:color w:val="0D1B2A"/>
          <w:sz w:val="56"/>
          <w:szCs w:val="56"/>
        </w:rPr>
        <w:t xml:space="preserve">Project-to-Income Engine</w:t>
      </w:r>
    </w:p>
    <w:p>
      <w:pPr>
        <w:pBdr>
          <w:bottom w:val="single" w:color="C9A84C" w:sz="8" w:space="2"/>
        </w:pBdr>
        <w:spacing w:after="60" w:before="0"/>
        <w:jc w:val="center"/>
      </w:pPr>
      <w:r>
        <w:rPr>
          <w:rFonts w:ascii="Times New Roman" w:cs="Times New Roman" w:eastAsia="Times New Roman" w:hAnsi="Times New Roman"/>
          <w:b w:val="false"/>
          <w:bCs w:val="false"/>
          <w:i/>
          <w:iCs/>
          <w:color w:val="444444"/>
          <w:sz w:val="28"/>
          <w:szCs w:val="28"/>
        </w:rPr>
        <w:t xml:space="preserve">AI-Based Evaluation and Monetization of Student Projects</w:t>
      </w:r>
    </w:p>
    <w:p>
      <w:pPr>
        <w:spacing w:after="120" w:before="0"/>
      </w:pPr>
      <w:r>
        <w:rPr>
          <w:rFonts w:ascii="Times New Roman" w:cs="Times New Roman" w:eastAsia="Times New Roman" w:hAnsi="Times New Roman"/>
          <w:b w:val="false"/>
          <w:bCs w:val="false"/>
          <w:i w:val="false"/>
          <w:iCs w:val="false"/>
          <w:color w:val="111111"/>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26"/>
        <w:gridCol w:w="3027"/>
        <w:gridCol w:w="3027"/>
      </w:tblGrid>
      <w:tr>
        <w:tc>
          <w:tcPr>
            <w:tcW w:type="dxa" w:w="3026"/>
            <w:tcBorders>
              <w:top w:val="none" w:color="FFFFFF" w:sz="0"/>
              <w:left w:val="none" w:color="FFFFFF" w:sz="0"/>
              <w:bottom w:val="none" w:color="FFFFFF" w:sz="0"/>
              <w:right w:val="single" w:color="BBBBBB" w:sz="4"/>
            </w:tcBorders>
            <w:tcMar>
              <w:top w:type="dxa" w:w="80"/>
              <w:left w:type="dxa" w:w="180"/>
              <w:bottom w:type="dxa" w:w="80"/>
              <w:right w:type="dxa" w:w="180"/>
            </w:tcMar>
          </w:tcPr>
          <w:p>
            <w:pPr>
              <w:jc w:val="center"/>
            </w:pPr>
            <w:r>
              <w:rPr>
                <w:rFonts w:ascii="Times New Roman" w:cs="Times New Roman" w:eastAsia="Times New Roman" w:hAnsi="Times New Roman"/>
                <w:b/>
                <w:bCs/>
                <w:i w:val="false"/>
                <w:iCs w:val="false"/>
                <w:color w:val="1A4FA0"/>
                <w:sz w:val="19"/>
                <w:szCs w:val="19"/>
              </w:rPr>
              <w:t xml:space="preserve">Author</w:t>
            </w:r>
          </w:p>
          <w:p>
            <w:pPr>
              <w:jc w:val="center"/>
            </w:pPr>
            <w:r>
              <w:rPr>
                <w:rFonts w:ascii="Times New Roman" w:cs="Times New Roman" w:eastAsia="Times New Roman" w:hAnsi="Times New Roman"/>
                <w:b/>
                <w:bCs/>
                <w:i w:val="false"/>
                <w:iCs w:val="false"/>
                <w:color w:val="111111"/>
                <w:sz w:val="22"/>
                <w:szCs w:val="22"/>
              </w:rPr>
              <w:t xml:space="preserve">Paras Jain</w:t>
            </w:r>
          </w:p>
          <w:p>
            <w:pPr>
              <w:jc w:val="center"/>
            </w:pPr>
            <w:r>
              <w:rPr>
                <w:rFonts w:ascii="Times New Roman" w:cs="Times New Roman" w:eastAsia="Times New Roman" w:hAnsi="Times New Roman"/>
                <w:b w:val="false"/>
                <w:bCs w:val="false"/>
                <w:i/>
                <w:iCs/>
                <w:color w:val="555555"/>
                <w:sz w:val="20"/>
                <w:szCs w:val="20"/>
              </w:rPr>
              <w:t xml:space="preserve">VIT Bhopal University</w:t>
            </w:r>
          </w:p>
        </w:tc>
        <w:tc>
          <w:tcPr>
            <w:tcW w:type="dxa" w:w="3027"/>
            <w:tcBorders>
              <w:top w:val="none" w:color="FFFFFF" w:sz="0"/>
              <w:left w:val="none" w:color="FFFFFF" w:sz="0"/>
              <w:bottom w:val="none" w:color="FFFFFF" w:sz="0"/>
              <w:right w:val="single" w:color="BBBBBB" w:sz="4"/>
            </w:tcBorders>
            <w:tcMar>
              <w:top w:type="dxa" w:w="80"/>
              <w:left w:type="dxa" w:w="180"/>
              <w:bottom w:type="dxa" w:w="80"/>
              <w:right w:type="dxa" w:w="180"/>
            </w:tcMar>
          </w:tcPr>
          <w:p>
            <w:pPr>
              <w:jc w:val="center"/>
            </w:pPr>
            <w:r>
              <w:rPr>
                <w:rFonts w:ascii="Times New Roman" w:cs="Times New Roman" w:eastAsia="Times New Roman" w:hAnsi="Times New Roman"/>
                <w:b/>
                <w:bCs/>
                <w:i w:val="false"/>
                <w:iCs w:val="false"/>
                <w:color w:val="1A4FA0"/>
                <w:sz w:val="19"/>
                <w:szCs w:val="19"/>
              </w:rPr>
              <w:t xml:space="preserve">Platform</w:t>
            </w:r>
          </w:p>
          <w:p>
            <w:pPr>
              <w:jc w:val="center"/>
            </w:pPr>
            <w:r>
              <w:rPr>
                <w:rFonts w:ascii="Times New Roman" w:cs="Times New Roman" w:eastAsia="Times New Roman" w:hAnsi="Times New Roman"/>
                <w:b/>
                <w:bCs/>
                <w:i w:val="false"/>
                <w:iCs w:val="false"/>
                <w:color w:val="111111"/>
                <w:sz w:val="22"/>
                <w:szCs w:val="22"/>
              </w:rPr>
              <w:t xml:space="preserve">Next.js 16 + React 19</w:t>
            </w:r>
          </w:p>
          <w:p>
            <w:pPr>
              <w:jc w:val="center"/>
            </w:pPr>
            <w:r>
              <w:rPr>
                <w:rFonts w:ascii="Times New Roman" w:cs="Times New Roman" w:eastAsia="Times New Roman" w:hAnsi="Times New Roman"/>
                <w:b w:val="false"/>
                <w:bCs w:val="false"/>
                <w:i/>
                <w:iCs/>
                <w:color w:val="555555"/>
                <w:sz w:val="20"/>
                <w:szCs w:val="20"/>
              </w:rPr>
              <w:t xml:space="preserve">TypeScript · Tailwind CSS v4</w:t>
            </w:r>
          </w:p>
        </w:tc>
        <w:tc>
          <w:tcPr>
            <w:tcW w:type="dxa" w:w="3027"/>
            <w:tcBorders>
              <w:top w:val="none" w:color="FFFFFF" w:sz="0"/>
              <w:left w:val="none" w:color="FFFFFF" w:sz="0"/>
              <w:bottom w:val="none" w:color="FFFFFF" w:sz="0"/>
              <w:right w:val="none" w:color="FFFFFF" w:sz="0"/>
            </w:tcBorders>
            <w:tcMar>
              <w:top w:type="dxa" w:w="80"/>
              <w:left w:type="dxa" w:w="180"/>
              <w:bottom w:type="dxa" w:w="80"/>
              <w:right w:type="dxa" w:w="180"/>
            </w:tcMar>
          </w:tcPr>
          <w:p>
            <w:pPr>
              <w:jc w:val="center"/>
            </w:pPr>
            <w:r>
              <w:rPr>
                <w:rFonts w:ascii="Times New Roman" w:cs="Times New Roman" w:eastAsia="Times New Roman" w:hAnsi="Times New Roman"/>
                <w:b/>
                <w:bCs/>
                <w:i w:val="false"/>
                <w:iCs w:val="false"/>
                <w:color w:val="1A4FA0"/>
                <w:sz w:val="19"/>
                <w:szCs w:val="19"/>
              </w:rPr>
              <w:t xml:space="preserve">AI Layer</w:t>
            </w:r>
          </w:p>
          <w:p>
            <w:pPr>
              <w:jc w:val="center"/>
            </w:pPr>
            <w:r>
              <w:rPr>
                <w:rFonts w:ascii="Times New Roman" w:cs="Times New Roman" w:eastAsia="Times New Roman" w:hAnsi="Times New Roman"/>
                <w:b/>
                <w:bCs/>
                <w:i w:val="false"/>
                <w:iCs w:val="false"/>
                <w:color w:val="111111"/>
                <w:sz w:val="22"/>
                <w:szCs w:val="22"/>
              </w:rPr>
              <w:t xml:space="preserve">Claude Sonnet via Anthropic</w:t>
            </w:r>
          </w:p>
          <w:p>
            <w:pPr>
              <w:jc w:val="center"/>
            </w:pPr>
            <w:r>
              <w:rPr>
                <w:rFonts w:ascii="Times New Roman" w:cs="Times New Roman" w:eastAsia="Times New Roman" w:hAnsi="Times New Roman"/>
                <w:b w:val="false"/>
                <w:bCs w:val="false"/>
                <w:i/>
                <w:iCs/>
                <w:color w:val="555555"/>
                <w:sz w:val="20"/>
                <w:szCs w:val="20"/>
              </w:rPr>
              <w:t xml:space="preserve">Structured JSON · LLM Evaluation</w:t>
            </w:r>
          </w:p>
        </w:tc>
      </w:tr>
    </w:tbl>
    <w:p>
      <w:pPr>
        <w:spacing w:after="200" w:before="0"/>
      </w:pPr>
      <w:r>
        <w:rPr>
          <w:rFonts w:ascii="Times New Roman" w:cs="Times New Roman" w:eastAsia="Times New Roman" w:hAnsi="Times New Roman"/>
          <w:b w:val="false"/>
          <w:bCs w:val="false"/>
          <w:i w:val="false"/>
          <w:iCs w:val="false"/>
          <w:color w:val="111111"/>
          <w:sz w:val="22"/>
          <w:szCs w:val="22"/>
        </w:rPr>
        <w:t xml:space="preserve"/>
      </w:r>
    </w:p>
    <w:p>
      <w:pPr>
        <w:spacing w:after="80" w:before="0"/>
        <w:jc w:val="center"/>
      </w:pPr>
      <w:r>
        <w:rPr>
          <w:rFonts w:ascii="Times New Roman" w:cs="Times New Roman" w:eastAsia="Times New Roman" w:hAnsi="Times New Roman"/>
          <w:b/>
          <w:bCs/>
          <w:i/>
          <w:iCs/>
          <w:color w:val="1A4FA0"/>
          <w:sz w:val="27"/>
          <w:szCs w:val="27"/>
        </w:rPr>
        <w:t xml:space="preserve">Abstract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1A4FA0" w:sz="4"/>
              <w:left w:val="thick" w:color="C9A84C" w:sz="16"/>
              <w:bottom w:val="single" w:color="1A4FA0" w:sz="4"/>
              <w:right w:val="none" w:color="FFFFFF" w:sz="0"/>
            </w:tcBorders>
            <w:shd w:fill="EEF3FB" w:val="clear"/>
            <w:tcMar>
              <w:top w:type="dxa" w:w="120"/>
              <w:left w:type="dxa" w:w="260"/>
              <w:bottom w:type="dxa" w:w="120"/>
              <w:right w:type="dxa" w:w="260"/>
            </w:tcMar>
          </w:tcPr>
          <w:p>
            <w:pPr>
              <w:jc w:val="both"/>
            </w:pPr>
            <w:r>
              <w:rPr>
                <w:rFonts w:ascii="Times New Roman" w:cs="Times New Roman" w:eastAsia="Times New Roman" w:hAnsi="Times New Roman"/>
                <w:b w:val="false"/>
                <w:bCs w:val="false"/>
                <w:i/>
                <w:iCs/>
                <w:color w:val="111111"/>
                <w:sz w:val="21"/>
                <w:szCs w:val="21"/>
              </w:rPr>
              <w:t xml:space="preserve">In contemporary engineering education, students produce technically sophisticated projects spanning artificial intelligence, web development, IoT, and data science. Yet the vast majority of these innovations fail to transition beyond academic submission—primarily due to the absence of structured guidance on market viability and monetization pathways. This paper presents the Project-to-Income Engine, an AI-powered full-stack web platform that bridges the critical gap between academic project creation and entrepreneurial execution. Developed using Next.js 16, React 19, TypeScript, and Tailwind CSS v4, the system exposes a clean command-line-style interface through which users submit project descriptions and receive a multi-dimensional AI evaluation: a 1–10 commercial viability score, a qualitative verdict, three-scenario revenue projections (conservative, realistic, optimistic), and a set of actionable monetization strategies with step-by-step implementation guidance. A distinctive iterative refinement mechanism allows users to constrain the analysis by domain (e.g., India market, passive income) and receive dynamically recalculated outputs. Validated in a live hackathon environment, the system yielded a score of 7.8/10 with projected revenues of ₹2 Cr–₹25 Cr+ across time horizons, demonstrating practical utility. The platform is extensible toward investor matching, automated pitch-deck generation, and mobile deployment.</w:t>
            </w:r>
          </w:p>
        </w:tc>
      </w:tr>
    </w:tbl>
    <w:p>
      <w:pPr>
        <w:spacing w:after="120" w:before="80"/>
        <w:jc w:val="left"/>
      </w:pPr>
      <w:r>
        <w:rPr>
          <w:rFonts w:ascii="Times New Roman" w:cs="Times New Roman" w:eastAsia="Times New Roman" w:hAnsi="Times New Roman"/>
          <w:b/>
          <w:bCs/>
          <w:i/>
          <w:iCs/>
          <w:color w:val="1A4FA0"/>
          <w:sz w:val="20"/>
          <w:szCs w:val="20"/>
        </w:rPr>
        <w:t xml:space="preserve">Keywords—</w:t>
      </w:r>
      <w:r>
        <w:rPr>
          <w:rFonts w:ascii="Times New Roman" w:cs="Times New Roman" w:eastAsia="Times New Roman" w:hAnsi="Times New Roman"/>
          <w:b w:val="false"/>
          <w:bCs w:val="false"/>
          <w:i/>
          <w:iCs/>
          <w:color w:val="111111"/>
          <w:sz w:val="20"/>
          <w:szCs w:val="20"/>
        </w:rPr>
        <w:t xml:space="preserve">Artificial Intelligence; Monetization; Large Language Models; Next.js; React; TypeScript; Entrepreneurship; Student Projects; Revenue Prediction; Startup Evaluation.</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pBdr>
          <w:bottom w:val="single" w:color="1A4FA0" w:sz="10" w:space="2"/>
        </w:pBdr>
        <w:spacing w:after="120" w:before="260"/>
        <w:jc w:val="left"/>
      </w:pPr>
      <w:r>
        <w:rPr>
          <w:rFonts w:ascii="Times New Roman" w:cs="Times New Roman" w:eastAsia="Times New Roman" w:hAnsi="Times New Roman"/>
          <w:b/>
          <w:bCs/>
          <w:i w:val="false"/>
          <w:iCs w:val="false"/>
          <w:color w:val="1A4FA0"/>
          <w:sz w:val="26"/>
          <w:szCs w:val="26"/>
        </w:rPr>
        <w:t xml:space="preserve">I. INTRODUCTION</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Engineering education globally has shifted toward project-based learning, producing a vast annual corpus of technically sophisticated student projects across AI, IoT, web development, and data science. Despite this surge in innovation, a structural gap persists: most student projects are abandoned after academic evaluation without ever reaching a real user, generating revenue, or informing a startup.</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root cause is not lack of creativity or technical skill, but absence of business intelligence. Students proficient in React, Python, and machine learning rarely possess the vocabulary—let alone the tools—to answer foundational entrepreneurial questions: Does this idea solve a problem with demonstrated demand? Which monetization model best fits the user base? What revenue is realistically achievable in Year 1 versus Year 5?</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Existing tools address only part of this gap. Product-hunt-style directories provide social validation but no quantitative analysis. Generic business plan generators are untethered from the technical specifics of a project. Startup accelerator programs are selective and geographically constrained. What is missing is an accessible, AI-powered, project-specific evaluation engine available to any student at any institution.</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Project-to-Income Engine addresses this gap. Its primary contributions are: </w:t>
      </w:r>
      <w:r>
        <w:rPr>
          <w:rFonts w:ascii="Times New Roman" w:cs="Times New Roman" w:eastAsia="Times New Roman" w:hAnsi="Times New Roman"/>
          <w:b/>
          <w:bCs/>
          <w:i w:val="false"/>
          <w:iCs w:val="false"/>
          <w:color w:val="111111"/>
          <w:sz w:val="22"/>
          <w:szCs w:val="22"/>
        </w:rPr>
        <w:t xml:space="preserve">(i) </w:t>
      </w:r>
      <w:r>
        <w:rPr>
          <w:rFonts w:ascii="Times New Roman" w:cs="Times New Roman" w:eastAsia="Times New Roman" w:hAnsi="Times New Roman"/>
          <w:b w:val="false"/>
          <w:bCs w:val="false"/>
          <w:i w:val="false"/>
          <w:iCs w:val="false"/>
          <w:color w:val="111111"/>
          <w:sz w:val="22"/>
          <w:szCs w:val="22"/>
        </w:rPr>
        <w:t xml:space="preserve">a structured AI evaluation pipeline converting free-text project descriptions into quantified commercial viability scores; </w:t>
      </w:r>
      <w:r>
        <w:rPr>
          <w:rFonts w:ascii="Times New Roman" w:cs="Times New Roman" w:eastAsia="Times New Roman" w:hAnsi="Times New Roman"/>
          <w:b/>
          <w:bCs/>
          <w:i w:val="false"/>
          <w:iCs w:val="false"/>
          <w:color w:val="111111"/>
          <w:sz w:val="22"/>
          <w:szCs w:val="22"/>
        </w:rPr>
        <w:t xml:space="preserve">(ii) </w:t>
      </w:r>
      <w:r>
        <w:rPr>
          <w:rFonts w:ascii="Times New Roman" w:cs="Times New Roman" w:eastAsia="Times New Roman" w:hAnsi="Times New Roman"/>
          <w:b w:val="false"/>
          <w:bCs w:val="false"/>
          <w:i w:val="false"/>
          <w:iCs w:val="false"/>
          <w:color w:val="111111"/>
          <w:sz w:val="22"/>
          <w:szCs w:val="22"/>
        </w:rPr>
        <w:t xml:space="preserve">three-scenario revenue forecasting calibrated for the Indian startup ecosystem; </w:t>
      </w:r>
      <w:r>
        <w:rPr>
          <w:rFonts w:ascii="Times New Roman" w:cs="Times New Roman" w:eastAsia="Times New Roman" w:hAnsi="Times New Roman"/>
          <w:b/>
          <w:bCs/>
          <w:i w:val="false"/>
          <w:iCs w:val="false"/>
          <w:color w:val="111111"/>
          <w:sz w:val="22"/>
          <w:szCs w:val="22"/>
        </w:rPr>
        <w:t xml:space="preserve">(iii) </w:t>
      </w:r>
      <w:r>
        <w:rPr>
          <w:rFonts w:ascii="Times New Roman" w:cs="Times New Roman" w:eastAsia="Times New Roman" w:hAnsi="Times New Roman"/>
          <w:b w:val="false"/>
          <w:bCs w:val="false"/>
          <w:i w:val="false"/>
          <w:iCs w:val="false"/>
          <w:color w:val="111111"/>
          <w:sz w:val="22"/>
          <w:szCs w:val="22"/>
        </w:rPr>
        <w:t xml:space="preserve">an iterative refinement mechanism enabling goal-specific customization of monetization strategies; and </w:t>
      </w:r>
      <w:r>
        <w:rPr>
          <w:rFonts w:ascii="Times New Roman" w:cs="Times New Roman" w:eastAsia="Times New Roman" w:hAnsi="Times New Roman"/>
          <w:b/>
          <w:bCs/>
          <w:i w:val="false"/>
          <w:iCs w:val="false"/>
          <w:color w:val="111111"/>
          <w:sz w:val="22"/>
          <w:szCs w:val="22"/>
        </w:rPr>
        <w:t xml:space="preserve">(iv) </w:t>
      </w:r>
      <w:r>
        <w:rPr>
          <w:rFonts w:ascii="Times New Roman" w:cs="Times New Roman" w:eastAsia="Times New Roman" w:hAnsi="Times New Roman"/>
          <w:b w:val="false"/>
          <w:bCs w:val="false"/>
          <w:i w:val="false"/>
          <w:iCs w:val="false"/>
          <w:color w:val="111111"/>
          <w:sz w:val="22"/>
          <w:szCs w:val="22"/>
        </w:rPr>
        <w:t xml:space="preserve">a production-grade full-stack implementation using the latest Next.js 16 and React 19 release.</w:t>
      </w:r>
    </w:p>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pBdr>
          <w:bottom w:val="single" w:color="1A4FA0" w:sz="10" w:space="2"/>
        </w:pBdr>
        <w:spacing w:after="120" w:before="260"/>
        <w:jc w:val="left"/>
      </w:pPr>
      <w:r>
        <w:rPr>
          <w:rFonts w:ascii="Times New Roman" w:cs="Times New Roman" w:eastAsia="Times New Roman" w:hAnsi="Times New Roman"/>
          <w:b/>
          <w:bCs/>
          <w:i w:val="false"/>
          <w:iCs w:val="false"/>
          <w:color w:val="1A4FA0"/>
          <w:sz w:val="26"/>
          <w:szCs w:val="26"/>
        </w:rPr>
        <w:t xml:space="preserve">II. RELATED WORK</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Several prior systems address adjacent aspects of the problem. Startup evaluation frameworks such as the Business Model Canvas [1] and Lean Canvas [2] provide structured thinking templates, but require substantial business expertise to complete and produce no quantitative outputs. AI-powered idea validators (IdeaBuddy, Validation.io) offer qualitative feedback but lack revenue projection and iterative refinement capabilities.</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Research on LLM-based business analysis has demonstrated that large language models can perform domain-specific reasoning on startup viability [3]. However, prior academic implementations have not integrated LLM evaluation with structured JSON output schemas enforced at the prompt level, nor provided iterative constraint-based refinement as a first-class feature.</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In the Next.js ecosystem, full-stack AI applications have been explored for code generation and content creation, but not for structured entrepreneurial evaluation. The Project-to-Income Engine represents the first known application of this stack to student project monetization at the hackathon stage.</w:t>
      </w:r>
    </w:p>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pBdr>
          <w:bottom w:val="single" w:color="1A4FA0" w:sz="10" w:space="2"/>
        </w:pBdr>
        <w:spacing w:after="120" w:before="260"/>
        <w:jc w:val="left"/>
      </w:pPr>
      <w:r>
        <w:rPr>
          <w:rFonts w:ascii="Times New Roman" w:cs="Times New Roman" w:eastAsia="Times New Roman" w:hAnsi="Times New Roman"/>
          <w:b/>
          <w:bCs/>
          <w:i w:val="false"/>
          <w:iCs w:val="false"/>
          <w:color w:val="1A4FA0"/>
          <w:sz w:val="26"/>
          <w:szCs w:val="26"/>
        </w:rPr>
        <w:t xml:space="preserve">III. PROBLEM STATEMENT</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gap between academic project development and real-world income generation manifests across four dimensions that current tools do not address holistically:</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11111"/>
          <w:sz w:val="22"/>
          <w:szCs w:val="22"/>
        </w:rPr>
        <w:t xml:space="preserve">Market Blindness: Students lack access to structured market demand analysis tailored to their specific project domain and target geography.</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11111"/>
          <w:sz w:val="22"/>
          <w:szCs w:val="22"/>
        </w:rPr>
        <w:t xml:space="preserve">Revenue Uncertainty: No accessible tool provides scenario-based revenue forecasting calibrated to project type, monetization model, and regional economic context.</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11111"/>
          <w:sz w:val="22"/>
          <w:szCs w:val="22"/>
        </w:rPr>
        <w:t xml:space="preserve">Strategy Vacuum: Monetization strategies, when suggested at all, are generic ("sell as SaaS") rather than specific, step-by-step, and ranked by feasibility.</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11111"/>
          <w:sz w:val="22"/>
          <w:szCs w:val="22"/>
        </w:rPr>
        <w:t xml:space="preserve">Irreversible First Analysis: Existing tools produce a single static output. Students cannot iteratively refine constraints ("focus on passive income, B2B only, India market") and observe how the evaluation shifts.</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Project-to-Income Engine is designed to resolve all four dimensions through a unified, AI-powered, iteratively refinable evaluation interface.</w:t>
      </w:r>
    </w:p>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pBdr>
          <w:bottom w:val="single" w:color="1A4FA0" w:sz="10" w:space="2"/>
        </w:pBdr>
        <w:spacing w:after="120" w:before="260"/>
        <w:jc w:val="left"/>
      </w:pPr>
      <w:r>
        <w:rPr>
          <w:rFonts w:ascii="Times New Roman" w:cs="Times New Roman" w:eastAsia="Times New Roman" w:hAnsi="Times New Roman"/>
          <w:b/>
          <w:bCs/>
          <w:i w:val="false"/>
          <w:iCs w:val="false"/>
          <w:color w:val="1A4FA0"/>
          <w:sz w:val="26"/>
          <w:szCs w:val="26"/>
        </w:rPr>
        <w:t xml:space="preserve">IV. SYSTEM ARCHITECTURE</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system follows a three-layer full-stack architecture: a React-based frontend, a Next.js API route backend, and an AI processing layer accessed via the Anthropic API. Fig. 1 summarizes the data flow.</w:t>
      </w:r>
    </w:p>
    <w:p>
      <w:pPr>
        <w:spacing w:after="60" w:before="0"/>
      </w:pPr>
      <w:r>
        <w:rPr>
          <w:rFonts w:ascii="Times New Roman" w:cs="Times New Roman" w:eastAsia="Times New Roman" w:hAnsi="Times New Roman"/>
          <w:b w:val="false"/>
          <w:bCs w:val="false"/>
          <w:i w:val="false"/>
          <w:iCs w:val="false"/>
          <w:color w:val="111111"/>
          <w:sz w:val="22"/>
          <w:szCs w:val="22"/>
        </w:rPr>
        <w:t xml:space="preserve"/>
      </w:r>
    </w:p>
    <w:p>
      <w:pPr>
        <w:spacing w:after="80" w:before="160"/>
        <w:jc w:val="left"/>
      </w:pPr>
      <w:r>
        <w:rPr>
          <w:rFonts w:ascii="Times New Roman" w:cs="Times New Roman" w:eastAsia="Times New Roman" w:hAnsi="Times New Roman"/>
          <w:b/>
          <w:bCs/>
          <w:i/>
          <w:iCs/>
          <w:color w:val="1A4FA0"/>
          <w:sz w:val="23"/>
          <w:szCs w:val="23"/>
        </w:rPr>
        <w:t xml:space="preserve">A. Frontend Layer (Next.js 16 / React 19 / Tailwind CSS v4)</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frontend renders a single-page application with a dark-themed interface consistent with the hackathon pitch deck aesthetic. The primary UI components are: (1) a free-text textarea for project description input; (2) an Analyze Project button triggering the initial evaluation; (3) a structured results panel rendering score, verdict, confidence meter, revenue estimates, and monetization strategy cards; and (4) a Refine Results input enabling iterative constraint-based re-analysis. State is managed entirely via React useState hooks with no external state library, minimizing bundle size.</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80" w:before="160"/>
        <w:jc w:val="left"/>
      </w:pPr>
      <w:r>
        <w:rPr>
          <w:rFonts w:ascii="Times New Roman" w:cs="Times New Roman" w:eastAsia="Times New Roman" w:hAnsi="Times New Roman"/>
          <w:b/>
          <w:bCs/>
          <w:i/>
          <w:iCs/>
          <w:color w:val="1A4FA0"/>
          <w:sz w:val="23"/>
          <w:szCs w:val="23"/>
        </w:rPr>
        <w:t xml:space="preserve">B. Backend Layer (Next.js API Routes)</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/api/analyze route accepts POST requests carrying a JSON body with a projectIdea string. The backend constructs a structured prompt embedding the project description alongside explicit instructions mandating a JSON response conforming to the evaluation schema. Error handling wraps the AI API call with try/catch, returning structured error objects to the frontend. The refinement feature appends the user constraint to the original idea string (projectIdea + ' | refinement: ' + refinement) before forwarding to the same endpoint, ensuring a single, DRY API route handles both initial and refined analysis.</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80" w:before="160"/>
        <w:jc w:val="left"/>
      </w:pPr>
      <w:r>
        <w:rPr>
          <w:rFonts w:ascii="Times New Roman" w:cs="Times New Roman" w:eastAsia="Times New Roman" w:hAnsi="Times New Roman"/>
          <w:b/>
          <w:bCs/>
          <w:i/>
          <w:iCs/>
          <w:color w:val="1A4FA0"/>
          <w:sz w:val="23"/>
          <w:szCs w:val="23"/>
        </w:rPr>
        <w:t xml:space="preserve">C. AI Processing Layer (Anthropic Claude via API)</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AI layer receives the structured prompt and returns a JSON object containing: score (integer 1–10), verdict (string), revenue object with conservative/realistic/optimistic fields, and suggestions array. Each suggestion object contains title, model, targetUsers, pricing, and steps array. The prompt enforces JSON-only output with no preamble or markdown fencing, preventing parse errors. The claude-sonnet-4-20250514 model is used for its balance of instruction-following fidelity and response latency.</w:t>
      </w:r>
    </w:p>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pBdr>
          <w:bottom w:val="single" w:color="1A4FA0" w:sz="10" w:space="2"/>
        </w:pBdr>
        <w:spacing w:after="120" w:before="260"/>
        <w:jc w:val="left"/>
      </w:pPr>
      <w:r>
        <w:rPr>
          <w:rFonts w:ascii="Times New Roman" w:cs="Times New Roman" w:eastAsia="Times New Roman" w:hAnsi="Times New Roman"/>
          <w:b/>
          <w:bCs/>
          <w:i w:val="false"/>
          <w:iCs w:val="false"/>
          <w:color w:val="1A4FA0"/>
          <w:sz w:val="26"/>
          <w:szCs w:val="26"/>
        </w:rPr>
        <w:t xml:space="preserve">V. IMPLEMENTATION</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Table I enumerates the core technology stack. The implementation is entirely TypeScript, using strict mode enabled via tsconfig.json, ensuring type safety across the frontend-backend boundary.</w:t>
      </w:r>
    </w:p>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spacing w:after="40" w:before="80"/>
        <w:jc w:val="center"/>
      </w:pPr>
      <w:r>
        <w:rPr>
          <w:rFonts w:ascii="Times New Roman" w:cs="Times New Roman" w:eastAsia="Times New Roman" w:hAnsi="Times New Roman"/>
          <w:b/>
          <w:bCs/>
          <w:i w:val="false"/>
          <w:iCs w:val="false"/>
          <w:color w:val="1A4FA0"/>
          <w:sz w:val="20"/>
          <w:szCs w:val="20"/>
        </w:rPr>
        <w:t xml:space="preserve">TABLE I.   TECHNOLOGY STACK</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3080"/>
        <w:gridCol w:w="3400"/>
      </w:tblGrid>
      <w:tr>
        <w:tc>
          <w:tcPr>
            <w:tcW w:type="dxa" w:w="260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Layer</w:t>
            </w:r>
          </w:p>
        </w:tc>
        <w:tc>
          <w:tcPr>
            <w:tcW w:type="dxa" w:w="308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Technology</w:t>
            </w:r>
          </w:p>
        </w:tc>
        <w:tc>
          <w:tcPr>
            <w:tcW w:type="dxa" w:w="340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Version / Notes</w:t>
            </w:r>
          </w:p>
        </w:tc>
      </w:tr>
      <w:tr>
        <w:tc>
          <w:tcPr>
            <w:tcW w:type="dxa" w:w="26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Frontend</w:t>
            </w:r>
          </w:p>
        </w:tc>
        <w:tc>
          <w:tcPr>
            <w:tcW w:type="dxa" w:w="308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Next.js + React</w:t>
            </w:r>
          </w:p>
        </w:tc>
        <w:tc>
          <w:tcPr>
            <w:tcW w:type="dxa" w:w="34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16.2.2 / 19.2.4 — App Router, RSC</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Styling</w:t>
            </w:r>
          </w:p>
        </w:tc>
        <w:tc>
          <w:tcPr>
            <w:tcW w:type="dxa" w:w="308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Tailwind CSS</w:t>
            </w:r>
          </w:p>
        </w:tc>
        <w:tc>
          <w:tcPr>
            <w:tcW w:type="dxa" w:w="34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v4 via @tailwindcss/postcss</w:t>
            </w:r>
          </w:p>
        </w:tc>
      </w:tr>
      <w:tr>
        <w:tc>
          <w:tcPr>
            <w:tcW w:type="dxa" w:w="26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Language</w:t>
            </w:r>
          </w:p>
        </w:tc>
        <w:tc>
          <w:tcPr>
            <w:tcW w:type="dxa" w:w="308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TypeScript</w:t>
            </w:r>
          </w:p>
        </w:tc>
        <w:tc>
          <w:tcPr>
            <w:tcW w:type="dxa" w:w="34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v5, strict mode, bundler resolution</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Backend</w:t>
            </w:r>
          </w:p>
        </w:tc>
        <w:tc>
          <w:tcPr>
            <w:tcW w:type="dxa" w:w="308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Next.js API Routes</w:t>
            </w:r>
          </w:p>
        </w:tc>
        <w:tc>
          <w:tcPr>
            <w:tcW w:type="dxa" w:w="34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Node.js — /api/analyze POST endpoint</w:t>
            </w:r>
          </w:p>
        </w:tc>
      </w:tr>
      <w:tr>
        <w:tc>
          <w:tcPr>
            <w:tcW w:type="dxa" w:w="26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AI Layer</w:t>
            </w:r>
          </w:p>
        </w:tc>
        <w:tc>
          <w:tcPr>
            <w:tcW w:type="dxa" w:w="308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Anthropic Claude API</w:t>
            </w:r>
          </w:p>
        </w:tc>
        <w:tc>
          <w:tcPr>
            <w:tcW w:type="dxa" w:w="34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claude-sonnet-4-20250514, JSON mode</w:t>
            </w:r>
          </w:p>
        </w:tc>
      </w:tr>
      <w:tr>
        <w:tc>
          <w:tcPr>
            <w:tcW w:type="dxa" w:w="26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Linting</w:t>
            </w:r>
          </w:p>
        </w:tc>
        <w:tc>
          <w:tcPr>
            <w:tcW w:type="dxa" w:w="308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ESLint 9</w:t>
            </w:r>
          </w:p>
        </w:tc>
        <w:tc>
          <w:tcPr>
            <w:tcW w:type="dxa" w:w="34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eslint-config-next 16.2.2</w:t>
            </w:r>
          </w:p>
        </w:tc>
      </w:tr>
    </w:tbl>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spacing w:after="80" w:before="160"/>
        <w:jc w:val="left"/>
      </w:pPr>
      <w:r>
        <w:rPr>
          <w:rFonts w:ascii="Times New Roman" w:cs="Times New Roman" w:eastAsia="Times New Roman" w:hAnsi="Times New Roman"/>
          <w:b/>
          <w:bCs/>
          <w:i/>
          <w:iCs/>
          <w:color w:val="1A4FA0"/>
          <w:sz w:val="23"/>
          <w:szCs w:val="23"/>
        </w:rPr>
        <w:t xml:space="preserve">A. Prompt Engineering</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core innovation enabling reliable structured output is the prompt schema contract. The system prompt explicitly instructs the model to return only valid JSON with no markdown, no preamble, and no trailing text. The JSON schema is fully specified in the prompt, including field names, types, and nesting structure. This approach was chosen over function-calling / tool-use to maintain compatibility across model versions and reduce latency from additional API round-trips.</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80" w:before="160"/>
        <w:jc w:val="left"/>
      </w:pPr>
      <w:r>
        <w:rPr>
          <w:rFonts w:ascii="Times New Roman" w:cs="Times New Roman" w:eastAsia="Times New Roman" w:hAnsi="Times New Roman"/>
          <w:b/>
          <w:bCs/>
          <w:i/>
          <w:iCs/>
          <w:color w:val="1A4FA0"/>
          <w:sz w:val="23"/>
          <w:szCs w:val="23"/>
        </w:rPr>
        <w:t xml:space="preserve">B. Iterative Refinement</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refinement feature is architecturally lightweight yet functionally powerful. Rather than maintaining a conversation history (which would require session management and increase token consumption), the system concatenates the original idea with the refinement constraint, separated by a pipe delimiter. This stateless approach makes the refinement idempotent and compatible with serverless deployment without requiring database persistence.</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40" w:before="80"/>
        <w:jc w:val="center"/>
      </w:pPr>
      <w:r>
        <w:rPr>
          <w:rFonts w:ascii="Times New Roman" w:cs="Times New Roman" w:eastAsia="Times New Roman" w:hAnsi="Times New Roman"/>
          <w:b/>
          <w:bCs/>
          <w:i w:val="false"/>
          <w:iCs w:val="false"/>
          <w:color w:val="1A4FA0"/>
          <w:sz w:val="20"/>
          <w:szCs w:val="20"/>
        </w:rPr>
        <w:t xml:space="preserve">LISTING 1.   Core API Route — Request Handling Logic</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444444" w:sz="4"/>
              <w:left w:val="single" w:color="444444" w:sz="4"/>
              <w:bottom w:val="single" w:color="444444" w:sz="4"/>
              <w:right w:val="single" w:color="444444" w:sz="4"/>
            </w:tcBorders>
            <w:shd w:fill="F7F7F7" w:val="clear"/>
            <w:tcMar>
              <w:top w:type="dxa" w:w="80"/>
              <w:left w:type="dxa" w:w="200"/>
              <w:bottom w:type="dxa" w:w="80"/>
              <w:right w:type="dxa" w:w="200"/>
            </w:tcMar>
          </w:tcPr>
          <w:p>
            <w:pPr>
              <w:spacing w:after="40" w:before="40"/>
              <w:ind w:left="720"/>
              <w:jc w:val="left"/>
            </w:pPr>
            <w:r>
              <w:rPr>
                <w:rFonts w:ascii="Courier New" w:cs="Courier New" w:eastAsia="Courier New" w:hAnsi="Courier New"/>
                <w:color w:val="1A4FA0"/>
                <w:sz w:val="18"/>
                <w:szCs w:val="18"/>
              </w:rPr>
              <w:t xml:space="preserve">// POST /api/analyze</w:t>
            </w:r>
          </w:p>
          <w:p>
            <w:pPr>
              <w:spacing w:after="40" w:before="40"/>
              <w:ind w:left="720"/>
              <w:jc w:val="left"/>
            </w:pPr>
            <w:r>
              <w:rPr>
                <w:rFonts w:ascii="Courier New" w:cs="Courier New" w:eastAsia="Courier New" w:hAnsi="Courier New"/>
                <w:color w:val="1A4FA0"/>
                <w:sz w:val="18"/>
                <w:szCs w:val="18"/>
              </w:rPr>
              <w:t xml:space="preserve">const { projectIdea } = await req.json();</w:t>
            </w:r>
          </w:p>
          <w:p>
            <w:pPr>
              <w:spacing w:after="40" w:before="40"/>
              <w:ind w:left="720"/>
              <w:jc w:val="left"/>
            </w:pPr>
            <w:r>
              <w:rPr>
                <w:rFonts w:ascii="Courier New" w:cs="Courier New" w:eastAsia="Courier New" w:hAnsi="Courier New"/>
                <w:color w:val="1A4FA0"/>
                <w:sz w:val="18"/>
                <w:szCs w:val="18"/>
              </w:rPr>
              <w:t xml:space="preserve">const prompt = buildStructuredPrompt(projectIdea);</w:t>
            </w:r>
          </w:p>
          <w:p>
            <w:pPr>
              <w:spacing w:after="40" w:before="40"/>
              <w:ind w:left="720"/>
              <w:jc w:val="left"/>
            </w:pPr>
            <w:r>
              <w:rPr>
                <w:rFonts w:ascii="Courier New" w:cs="Courier New" w:eastAsia="Courier New" w:hAnsi="Courier New"/>
                <w:color w:val="1A4FA0"/>
                <w:sz w:val="18"/>
                <w:szCs w:val="18"/>
              </w:rPr>
              <w:t xml:space="preserve">const response = await anthropic.messages.create({</w:t>
            </w:r>
          </w:p>
          <w:p>
            <w:pPr>
              <w:spacing w:after="40" w:before="40"/>
              <w:ind w:left="720"/>
              <w:jc w:val="left"/>
            </w:pPr>
            <w:r>
              <w:rPr>
                <w:rFonts w:ascii="Courier New" w:cs="Courier New" w:eastAsia="Courier New" w:hAnsi="Courier New"/>
                <w:color w:val="1A4FA0"/>
                <w:sz w:val="18"/>
                <w:szCs w:val="18"/>
              </w:rPr>
              <w:t xml:space="preserve">  model: 'claude-sonnet-4-20250514',</w:t>
            </w:r>
          </w:p>
          <w:p>
            <w:pPr>
              <w:spacing w:after="40" w:before="40"/>
              <w:ind w:left="720"/>
              <w:jc w:val="left"/>
            </w:pPr>
            <w:r>
              <w:rPr>
                <w:rFonts w:ascii="Courier New" w:cs="Courier New" w:eastAsia="Courier New" w:hAnsi="Courier New"/>
                <w:color w:val="1A4FA0"/>
                <w:sz w:val="18"/>
                <w:szCs w:val="18"/>
              </w:rPr>
              <w:t xml:space="preserve">  max_tokens: 1000,</w:t>
            </w:r>
          </w:p>
          <w:p>
            <w:pPr>
              <w:spacing w:after="40" w:before="40"/>
              <w:ind w:left="720"/>
              <w:jc w:val="left"/>
            </w:pPr>
            <w:r>
              <w:rPr>
                <w:rFonts w:ascii="Courier New" w:cs="Courier New" w:eastAsia="Courier New" w:hAnsi="Courier New"/>
                <w:color w:val="1A4FA0"/>
                <w:sz w:val="18"/>
                <w:szCs w:val="18"/>
              </w:rPr>
              <w:t xml:space="preserve">  messages: [{ role: 'user', content: prompt }]</w:t>
            </w:r>
          </w:p>
          <w:p>
            <w:pPr>
              <w:spacing w:after="40" w:before="40"/>
              <w:ind w:left="720"/>
              <w:jc w:val="left"/>
            </w:pPr>
            <w:r>
              <w:rPr>
                <w:rFonts w:ascii="Courier New" w:cs="Courier New" w:eastAsia="Courier New" w:hAnsi="Courier New"/>
                <w:color w:val="1A4FA0"/>
                <w:sz w:val="18"/>
                <w:szCs w:val="18"/>
              </w:rPr>
              <w:t xml:space="preserve">});</w:t>
            </w:r>
          </w:p>
          <w:p>
            <w:pPr>
              <w:spacing w:after="40" w:before="40"/>
              <w:ind w:left="720"/>
              <w:jc w:val="left"/>
            </w:pPr>
            <w:r>
              <w:rPr>
                <w:rFonts w:ascii="Courier New" w:cs="Courier New" w:eastAsia="Courier New" w:hAnsi="Courier New"/>
                <w:color w:val="1A4FA0"/>
                <w:sz w:val="18"/>
                <w:szCs w:val="18"/>
              </w:rPr>
              <w:t xml:space="preserve">const data = JSON.parse(response.content[0].text);</w:t>
            </w:r>
          </w:p>
          <w:p>
            <w:pPr>
              <w:spacing w:after="40" w:before="40"/>
              <w:ind w:left="720"/>
              <w:jc w:val="left"/>
            </w:pPr>
            <w:r>
              <w:rPr>
                <w:rFonts w:ascii="Courier New" w:cs="Courier New" w:eastAsia="Courier New" w:hAnsi="Courier New"/>
                <w:color w:val="1A4FA0"/>
                <w:sz w:val="18"/>
                <w:szCs w:val="18"/>
              </w:rPr>
              <w:t xml:space="preserve">return NextResponse.json(data);</w:t>
            </w:r>
          </w:p>
        </w:tc>
      </w:tr>
    </w:tbl>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pBdr>
          <w:bottom w:val="single" w:color="1A4FA0" w:sz="10" w:space="2"/>
        </w:pBdr>
        <w:spacing w:after="120" w:before="260"/>
        <w:jc w:val="left"/>
      </w:pPr>
      <w:r>
        <w:rPr>
          <w:rFonts w:ascii="Times New Roman" w:cs="Times New Roman" w:eastAsia="Times New Roman" w:hAnsi="Times New Roman"/>
          <w:b/>
          <w:bCs/>
          <w:i w:val="false"/>
          <w:iCs w:val="false"/>
          <w:color w:val="1A4FA0"/>
          <w:sz w:val="26"/>
          <w:szCs w:val="26"/>
        </w:rPr>
        <w:t xml:space="preserve">VI. EVALUATION OUTPUT SCHEMA</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AI returns a structured JSON object whose schema is defined at the prompt level. Table II documents each field, its type, and its purpose in the UI.</w:t>
      </w:r>
    </w:p>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spacing w:after="40" w:before="80"/>
        <w:jc w:val="center"/>
      </w:pPr>
      <w:r>
        <w:rPr>
          <w:rFonts w:ascii="Times New Roman" w:cs="Times New Roman" w:eastAsia="Times New Roman" w:hAnsi="Times New Roman"/>
          <w:b/>
          <w:bCs/>
          <w:i w:val="false"/>
          <w:iCs w:val="false"/>
          <w:color w:val="1A4FA0"/>
          <w:sz w:val="20"/>
          <w:szCs w:val="20"/>
        </w:rPr>
        <w:t xml:space="preserve">TABLE II.   AI RESPONSE JSON SCHEMA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80"/>
      </w:tblGrid>
      <w:tr>
        <w:tc>
          <w:tcPr>
            <w:tcW w:type="dxa" w:w="220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Field</w:t>
            </w:r>
          </w:p>
        </w:tc>
        <w:tc>
          <w:tcPr>
            <w:tcW w:type="dxa" w:w="150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Type</w:t>
            </w:r>
          </w:p>
        </w:tc>
        <w:tc>
          <w:tcPr>
            <w:tcW w:type="dxa" w:w="538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Description</w:t>
            </w:r>
          </w:p>
        </w:tc>
      </w:tr>
      <w:tr>
        <w:tc>
          <w:tcPr>
            <w:tcW w:type="dxa" w:w="22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score</w:t>
            </w:r>
          </w:p>
        </w:tc>
        <w:tc>
          <w:tcPr>
            <w:tcW w:type="dxa" w:w="1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integer</w:t>
            </w:r>
          </w:p>
        </w:tc>
        <w:tc>
          <w:tcPr>
            <w:tcW w:type="dxa" w:w="538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Commercial viability score, 1–10. Drives the confidence progress bar width (score × 10%).</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verdict</w:t>
            </w:r>
          </w:p>
        </w:tc>
        <w:tc>
          <w:tcPr>
            <w:tcW w:type="dxa" w:w="15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string</w:t>
            </w:r>
          </w:p>
        </w:tc>
        <w:tc>
          <w:tcPr>
            <w:tcW w:type="dxa" w:w="538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Qualitative summary of the project's market potential and key differentiator.</w:t>
            </w:r>
          </w:p>
        </w:tc>
      </w:tr>
      <w:tr>
        <w:tc>
          <w:tcPr>
            <w:tcW w:type="dxa" w:w="22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revenue.conservative</w:t>
            </w:r>
          </w:p>
        </w:tc>
        <w:tc>
          <w:tcPr>
            <w:tcW w:type="dxa" w:w="1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string</w:t>
            </w:r>
          </w:p>
        </w:tc>
        <w:tc>
          <w:tcPr>
            <w:tcW w:type="dxa" w:w="538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Pessimistic revenue estimate; assumes slow adoption, limited marketing.</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revenue.realistic</w:t>
            </w:r>
          </w:p>
        </w:tc>
        <w:tc>
          <w:tcPr>
            <w:tcW w:type="dxa" w:w="15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string</w:t>
            </w:r>
          </w:p>
        </w:tc>
        <w:tc>
          <w:tcPr>
            <w:tcW w:type="dxa" w:w="538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Median-case estimate under standard growth assumptions.</w:t>
            </w:r>
          </w:p>
        </w:tc>
      </w:tr>
      <w:tr>
        <w:tc>
          <w:tcPr>
            <w:tcW w:type="dxa" w:w="22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revenue.optimistic</w:t>
            </w:r>
          </w:p>
        </w:tc>
        <w:tc>
          <w:tcPr>
            <w:tcW w:type="dxa" w:w="1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string</w:t>
            </w:r>
          </w:p>
        </w:tc>
        <w:tc>
          <w:tcPr>
            <w:tcW w:type="dxa" w:w="538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Best-case estimate assuming strong product-market fit and execution.</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suggestions[]</w:t>
            </w:r>
          </w:p>
        </w:tc>
        <w:tc>
          <w:tcPr>
            <w:tcW w:type="dxa" w:w="15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array</w:t>
            </w:r>
          </w:p>
        </w:tc>
        <w:tc>
          <w:tcPr>
            <w:tcW w:type="dxa" w:w="538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Array of monetization strategy objects; typically 2–4 entries.</w:t>
            </w:r>
          </w:p>
        </w:tc>
      </w:tr>
      <w:tr>
        <w:tc>
          <w:tcPr>
            <w:tcW w:type="dxa" w:w="22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  .title</w:t>
            </w:r>
          </w:p>
        </w:tc>
        <w:tc>
          <w:tcPr>
            <w:tcW w:type="dxa" w:w="1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string</w:t>
            </w:r>
          </w:p>
        </w:tc>
        <w:tc>
          <w:tcPr>
            <w:tcW w:type="dxa" w:w="538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Strategy name, e.g. 'AI Project Marketplace &amp; Monetization Platform'.</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  .model</w:t>
            </w:r>
          </w:p>
        </w:tc>
        <w:tc>
          <w:tcPr>
            <w:tcW w:type="dxa" w:w="15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string</w:t>
            </w:r>
          </w:p>
        </w:tc>
        <w:tc>
          <w:tcPr>
            <w:tcW w:type="dxa" w:w="538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Business model descriptor: SaaS, B2B subscription, freemium, etc.</w:t>
            </w:r>
          </w:p>
        </w:tc>
      </w:tr>
      <w:tr>
        <w:tc>
          <w:tcPr>
            <w:tcW w:type="dxa" w:w="22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  .targetUsers</w:t>
            </w:r>
          </w:p>
        </w:tc>
        <w:tc>
          <w:tcPr>
            <w:tcW w:type="dxa" w:w="1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string</w:t>
            </w:r>
          </w:p>
        </w:tc>
        <w:tc>
          <w:tcPr>
            <w:tcW w:type="dxa" w:w="538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Primary and secondary user segments for this strategy.</w:t>
            </w:r>
          </w:p>
        </w:tc>
      </w:tr>
      <w:tr>
        <w:tc>
          <w:tcPr>
            <w:tcW w:type="dxa" w:w="22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  .pricing</w:t>
            </w:r>
          </w:p>
        </w:tc>
        <w:tc>
          <w:tcPr>
            <w:tcW w:type="dxa" w:w="15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string</w:t>
            </w:r>
          </w:p>
        </w:tc>
        <w:tc>
          <w:tcPr>
            <w:tcW w:type="dxa" w:w="538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Pricing structure, tier details, and commission/fee rates.</w:t>
            </w:r>
          </w:p>
        </w:tc>
      </w:tr>
      <w:tr>
        <w:tc>
          <w:tcPr>
            <w:tcW w:type="dxa" w:w="22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  .steps[]</w:t>
            </w:r>
          </w:p>
        </w:tc>
        <w:tc>
          <w:tcPr>
            <w:tcW w:type="dxa" w:w="1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string[]</w:t>
            </w:r>
          </w:p>
        </w:tc>
        <w:tc>
          <w:tcPr>
            <w:tcW w:type="dxa" w:w="538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Step-by-step implementation roadmap for this monetization strategy.</w:t>
            </w:r>
          </w:p>
        </w:tc>
      </w:tr>
    </w:tbl>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pBdr>
          <w:bottom w:val="single" w:color="1A4FA0" w:sz="10" w:space="2"/>
        </w:pBdr>
        <w:spacing w:after="120" w:before="260"/>
        <w:jc w:val="left"/>
      </w:pPr>
      <w:r>
        <w:rPr>
          <w:rFonts w:ascii="Times New Roman" w:cs="Times New Roman" w:eastAsia="Times New Roman" w:hAnsi="Times New Roman"/>
          <w:b/>
          <w:bCs/>
          <w:i w:val="false"/>
          <w:iCs w:val="false"/>
          <w:color w:val="1A4FA0"/>
          <w:sz w:val="26"/>
          <w:szCs w:val="26"/>
        </w:rPr>
        <w:t xml:space="preserve">VII. EXPERIMENTAL RESULTS</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system was evaluated live during the hackathon submission with the query: "An AI-Based System for Monetizing Student Projects." The AI returned a score of 7.8/10 with the verdict: "Promising, with strong revenue potential and a clear market need. The 'predict market status' refinement is crucial for differentiation." Revenue projections are summarized in Table III.</w:t>
      </w:r>
    </w:p>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spacing w:after="40" w:before="80"/>
        <w:jc w:val="center"/>
      </w:pPr>
      <w:r>
        <w:rPr>
          <w:rFonts w:ascii="Times New Roman" w:cs="Times New Roman" w:eastAsia="Times New Roman" w:hAnsi="Times New Roman"/>
          <w:b/>
          <w:bCs/>
          <w:i w:val="false"/>
          <w:iCs w:val="false"/>
          <w:color w:val="1A4FA0"/>
          <w:sz w:val="20"/>
          <w:szCs w:val="20"/>
        </w:rPr>
        <w:t xml:space="preserve">TABLE III.   REVENUE PROJECTIONS — LIVE HACKATHON EVALUATION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2190"/>
        <w:gridCol w:w="2200"/>
        <w:gridCol w:w="2190"/>
      </w:tblGrid>
      <w:tr>
        <w:tc>
          <w:tcPr>
            <w:tcW w:type="dxa" w:w="250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Scenario</w:t>
            </w:r>
          </w:p>
        </w:tc>
        <w:tc>
          <w:tcPr>
            <w:tcW w:type="dxa" w:w="219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Projection</w:t>
            </w:r>
          </w:p>
        </w:tc>
        <w:tc>
          <w:tcPr>
            <w:tcW w:type="dxa" w:w="220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Time Horizon</w:t>
            </w:r>
          </w:p>
        </w:tc>
        <w:tc>
          <w:tcPr>
            <w:tcW w:type="dxa" w:w="219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Key Assumption</w:t>
            </w:r>
          </w:p>
        </w:tc>
      </w:tr>
      <w:tr>
        <w:tc>
          <w:tcPr>
            <w:tcW w:type="dxa" w:w="2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Conservative</w:t>
            </w:r>
          </w:p>
        </w:tc>
        <w:tc>
          <w:tcPr>
            <w:tcW w:type="dxa" w:w="219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₹2 Cr – ₹5 Cr</w:t>
            </w:r>
          </w:p>
        </w:tc>
        <w:tc>
          <w:tcPr>
            <w:tcW w:type="dxa" w:w="22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Year 1–2</w:t>
            </w:r>
          </w:p>
        </w:tc>
        <w:tc>
          <w:tcPr>
            <w:tcW w:type="dxa" w:w="219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Freemium base; slow B2C adoption</w:t>
            </w:r>
          </w:p>
        </w:tc>
      </w:tr>
      <w:tr>
        <w:tc>
          <w:tcPr>
            <w:tcW w:type="dxa" w:w="25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Realistic</w:t>
            </w:r>
          </w:p>
        </w:tc>
        <w:tc>
          <w:tcPr>
            <w:tcW w:type="dxa" w:w="219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₹8 Cr – ₹15 Cr</w:t>
            </w:r>
          </w:p>
        </w:tc>
        <w:tc>
          <w:tcPr>
            <w:tcW w:type="dxa" w:w="22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Year 3–4</w:t>
            </w:r>
          </w:p>
        </w:tc>
        <w:tc>
          <w:tcPr>
            <w:tcW w:type="dxa" w:w="219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B2B institutional subscriptions</w:t>
            </w:r>
          </w:p>
        </w:tc>
      </w:tr>
      <w:tr>
        <w:tc>
          <w:tcPr>
            <w:tcW w:type="dxa" w:w="2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Optimistic</w:t>
            </w:r>
          </w:p>
        </w:tc>
        <w:tc>
          <w:tcPr>
            <w:tcW w:type="dxa" w:w="219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₹25 Cr+</w:t>
            </w:r>
          </w:p>
        </w:tc>
        <w:tc>
          <w:tcPr>
            <w:tcW w:type="dxa" w:w="22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Year 5+</w:t>
            </w:r>
          </w:p>
        </w:tc>
        <w:tc>
          <w:tcPr>
            <w:tcW w:type="dxa" w:w="219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Pan-India platform + IP licensing</w:t>
            </w:r>
          </w:p>
        </w:tc>
      </w:tr>
    </w:tbl>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Two monetization strategies were generated. The first, "AI Project Marketplace &amp; Monetization Platform," targets university students and R&amp;D departments through a SaaS subscription with commission on project sales. The second, "AI-Powered Project Scouting for Corporates," addresses B2B corporate clients seeking innovation pipelines, with annual subscription fees of ₹1,00,000–₹5,00,000.</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refinement feature was subsequently invoked with the constraint "predict market status," producing an updated analysis emphasizing market trend prediction as the primary differentiator. This iterative recalculation required no additional UI navigation and completed within the same API round-trip latency as the initial analysis (~2–4 seconds).</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Table IV summarizes the test cases executed during the hackathon evaluation.</w:t>
      </w:r>
    </w:p>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spacing w:after="40" w:before="80"/>
        <w:jc w:val="center"/>
      </w:pPr>
      <w:r>
        <w:rPr>
          <w:rFonts w:ascii="Times New Roman" w:cs="Times New Roman" w:eastAsia="Times New Roman" w:hAnsi="Times New Roman"/>
          <w:b/>
          <w:bCs/>
          <w:i w:val="false"/>
          <w:iCs w:val="false"/>
          <w:color w:val="1A4FA0"/>
          <w:sz w:val="20"/>
          <w:szCs w:val="20"/>
        </w:rPr>
        <w:t xml:space="preserve">TABLE IV.   TEST CASE RESULTS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400"/>
        <w:gridCol w:w="1680"/>
        <w:gridCol w:w="1500"/>
        <w:gridCol w:w="2500"/>
      </w:tblGrid>
      <w:tr>
        <w:tc>
          <w:tcPr>
            <w:tcW w:type="dxa" w:w="340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Test Case</w:t>
            </w:r>
          </w:p>
        </w:tc>
        <w:tc>
          <w:tcPr>
            <w:tcW w:type="dxa" w:w="168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Input</w:t>
            </w:r>
          </w:p>
        </w:tc>
        <w:tc>
          <w:tcPr>
            <w:tcW w:type="dxa" w:w="150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Result</w:t>
            </w:r>
          </w:p>
        </w:tc>
        <w:tc>
          <w:tcPr>
            <w:tcW w:type="dxa" w:w="2500"/>
            <w:tcBorders>
              <w:top w:val="single" w:color="0D1B2A" w:sz="4"/>
              <w:left w:val="single" w:color="0D1B2A" w:sz="4"/>
              <w:bottom w:val="single" w:color="0D1B2A" w:sz="4"/>
              <w:right w:val="single" w:color="0D1B2A" w:sz="4"/>
            </w:tcBorders>
            <w:shd w:fill="0D1B2A" w:val="clear"/>
            <w:tcMar>
              <w:top w:type="dxa" w:w="80"/>
              <w:left w:type="dxa" w:w="140"/>
              <w:bottom w:type="dxa" w:w="80"/>
              <w:right w:type="dxa" w:w="140"/>
            </w:tcMar>
            <w:vAlign w:val="center"/>
          </w:tcPr>
          <w:p>
            <w:pPr>
              <w:jc w:val="center"/>
            </w:pPr>
            <w:r>
              <w:rPr>
                <w:rFonts w:ascii="Times New Roman" w:cs="Times New Roman" w:eastAsia="Times New Roman" w:hAnsi="Times New Roman"/>
                <w:b/>
                <w:bCs/>
                <w:i w:val="false"/>
                <w:iCs w:val="false"/>
                <w:color w:val="FFFFFF"/>
                <w:sz w:val="21"/>
                <w:szCs w:val="21"/>
              </w:rPr>
              <w:t xml:space="preserve">Notes</w:t>
            </w:r>
          </w:p>
        </w:tc>
      </w:tr>
      <w:tr>
        <w:tc>
          <w:tcPr>
            <w:tcW w:type="dxa" w:w="34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Initial project analysis</w:t>
            </w:r>
          </w:p>
        </w:tc>
        <w:tc>
          <w:tcPr>
            <w:tcW w:type="dxa" w:w="168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AI monetization system</w:t>
            </w:r>
          </w:p>
        </w:tc>
        <w:tc>
          <w:tcPr>
            <w:tcW w:type="dxa" w:w="1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PASS</w:t>
            </w:r>
          </w:p>
        </w:tc>
        <w:tc>
          <w:tcPr>
            <w:tcW w:type="dxa" w:w="2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Score 7.8, 2 strategies returned</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Revenue projection display</w:t>
            </w:r>
          </w:p>
        </w:tc>
        <w:tc>
          <w:tcPr>
            <w:tcW w:type="dxa" w:w="168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Same</w:t>
            </w:r>
          </w:p>
        </w:tc>
        <w:tc>
          <w:tcPr>
            <w:tcW w:type="dxa" w:w="15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PASS</w:t>
            </w:r>
          </w:p>
        </w:tc>
        <w:tc>
          <w:tcPr>
            <w:tcW w:type="dxa" w:w="25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All 3 scenarios rendered correctly</w:t>
            </w:r>
          </w:p>
        </w:tc>
      </w:tr>
      <w:tr>
        <w:tc>
          <w:tcPr>
            <w:tcW w:type="dxa" w:w="34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Confidence meter rendering</w:t>
            </w:r>
          </w:p>
        </w:tc>
        <w:tc>
          <w:tcPr>
            <w:tcW w:type="dxa" w:w="168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Score=7.8</w:t>
            </w:r>
          </w:p>
        </w:tc>
        <w:tc>
          <w:tcPr>
            <w:tcW w:type="dxa" w:w="1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PASS</w:t>
            </w:r>
          </w:p>
        </w:tc>
        <w:tc>
          <w:tcPr>
            <w:tcW w:type="dxa" w:w="2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Bar width = 78% (7.8×10)</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Iterative refinement</w:t>
            </w:r>
          </w:p>
        </w:tc>
        <w:tc>
          <w:tcPr>
            <w:tcW w:type="dxa" w:w="168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predict market status</w:t>
            </w:r>
          </w:p>
        </w:tc>
        <w:tc>
          <w:tcPr>
            <w:tcW w:type="dxa" w:w="15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PASS</w:t>
            </w:r>
          </w:p>
        </w:tc>
        <w:tc>
          <w:tcPr>
            <w:tcW w:type="dxa" w:w="25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Updated verdict and steps</w:t>
            </w:r>
          </w:p>
        </w:tc>
      </w:tr>
      <w:tr>
        <w:tc>
          <w:tcPr>
            <w:tcW w:type="dxa" w:w="34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Error state handling</w:t>
            </w:r>
          </w:p>
        </w:tc>
        <w:tc>
          <w:tcPr>
            <w:tcW w:type="dxa" w:w="168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Empty input</w:t>
            </w:r>
          </w:p>
        </w:tc>
        <w:tc>
          <w:tcPr>
            <w:tcW w:type="dxa" w:w="1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PASS</w:t>
            </w:r>
          </w:p>
        </w:tc>
        <w:tc>
          <w:tcPr>
            <w:tcW w:type="dxa" w:w="2500"/>
            <w:tcBorders>
              <w:top w:val="single" w:color="BBBBBB" w:sz="4"/>
              <w:left w:val="single" w:color="BBBBBB" w:sz="4"/>
              <w:bottom w:val="single" w:color="BBBBBB" w:sz="4"/>
              <w:right w:val="single" w:color="BBBBBB" w:sz="4"/>
            </w:tcBorders>
            <w:shd w:fill="F4F4F4"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User-friendly error displayed</w:t>
            </w:r>
          </w:p>
        </w:tc>
      </w:tr>
      <w:tr>
        <w:tc>
          <w:tcPr>
            <w:tcW w:type="dxa" w:w="34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Loading state</w:t>
            </w:r>
          </w:p>
        </w:tc>
        <w:tc>
          <w:tcPr>
            <w:tcW w:type="dxa" w:w="168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Any input</w:t>
            </w:r>
          </w:p>
        </w:tc>
        <w:tc>
          <w:tcPr>
            <w:tcW w:type="dxa" w:w="15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bCs/>
                <w:i w:val="false"/>
                <w:iCs w:val="false"/>
                <w:color w:val="111111"/>
                <w:sz w:val="20"/>
                <w:szCs w:val="20"/>
              </w:rPr>
              <w:t xml:space="preserve">PASS</w:t>
            </w:r>
          </w:p>
        </w:tc>
        <w:tc>
          <w:tcPr>
            <w:tcW w:type="dxa" w:w="2500"/>
            <w:tcBorders>
              <w:top w:val="single" w:color="BBBBBB" w:sz="4"/>
              <w:left w:val="single" w:color="BBBBBB" w:sz="4"/>
              <w:bottom w:val="single" w:color="BBBBBB" w:sz="4"/>
              <w:right w:val="single" w:color="BBBBBB" w:sz="4"/>
            </w:tcBorders>
            <w:shd w:fill="FFFFFF" w:val="clear"/>
            <w:tcMar>
              <w:top w:type="dxa" w:w="60"/>
              <w:left w:type="dxa" w:w="130"/>
              <w:bottom w:type="dxa" w:w="60"/>
              <w:right w:type="dxa" w:w="130"/>
            </w:tcMar>
          </w:tcPr>
          <w:p>
            <w:pPr>
              <w:jc w:val="left"/>
            </w:pPr>
            <w:r>
              <w:rPr>
                <w:rFonts w:ascii="Times New Roman" w:cs="Times New Roman" w:eastAsia="Times New Roman" w:hAnsi="Times New Roman"/>
                <w:b w:val="false"/>
                <w:bCs w:val="false"/>
                <w:i w:val="false"/>
                <w:iCs w:val="false"/>
                <w:color w:val="111111"/>
                <w:sz w:val="20"/>
                <w:szCs w:val="20"/>
              </w:rPr>
              <w:t xml:space="preserve">Animate-pulse 'Analyzing...' shown</w:t>
            </w:r>
          </w:p>
        </w:tc>
      </w:tr>
    </w:tbl>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pBdr>
          <w:bottom w:val="single" w:color="1A4FA0" w:sz="10" w:space="2"/>
        </w:pBdr>
        <w:spacing w:after="120" w:before="260"/>
        <w:jc w:val="left"/>
      </w:pPr>
      <w:r>
        <w:rPr>
          <w:rFonts w:ascii="Times New Roman" w:cs="Times New Roman" w:eastAsia="Times New Roman" w:hAnsi="Times New Roman"/>
          <w:b/>
          <w:bCs/>
          <w:i w:val="false"/>
          <w:iCs w:val="false"/>
          <w:color w:val="1A4FA0"/>
          <w:sz w:val="26"/>
          <w:szCs w:val="26"/>
        </w:rPr>
        <w:t xml:space="preserve">VIII. DISCUSSION</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experimental results confirm that the Project-to-Income Engine fulfills its core objectives: converting free-text project descriptions into structured, quantified commercial evaluations with actionable monetization roadmaps. The 7.8/10 score and multi-crore revenue projections for the project's own concept demonstrate both the system's practical utility and an interesting reflexivity—the platform validates itself.</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iterative refinement mechanism is the most distinctive feature from a UX perspective. By concatenating constraints to the original idea rather than maintaining conversation history, the implementation avoids session management complexity while preserving the user experience of dynamic, responsive AI analysis. The tradeoff is that very long chains of refinements could exceed the model's context window, a limitation addressed by resetting the base idea on each refinement cycle.</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A notable architectural decision is the use of client-side state management exclusively (React useState) without Redux, Zustand, or Context API. For the current feature set this is appropriate; however, if the platform expands to include user accounts, saved analyses, and comparison history, a more robust state management solution will be required.</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revenue estimates, while structured and plausible, are not grounded in live market data. The AI draws on parametric knowledge from training rather than real-time industry databases. This limitation is acknowledged in the pitch deck and is listed as a future enhancement. Integration with live startup funding data (e.g., Tracxn, Crunchbase API) would substantially improve projection accuracy.</w:t>
      </w:r>
    </w:p>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pBdr>
          <w:bottom w:val="single" w:color="1A4FA0" w:sz="10" w:space="2"/>
        </w:pBdr>
        <w:spacing w:after="120" w:before="260"/>
        <w:jc w:val="left"/>
      </w:pPr>
      <w:r>
        <w:rPr>
          <w:rFonts w:ascii="Times New Roman" w:cs="Times New Roman" w:eastAsia="Times New Roman" w:hAnsi="Times New Roman"/>
          <w:b/>
          <w:bCs/>
          <w:i w:val="false"/>
          <w:iCs w:val="false"/>
          <w:color w:val="1A4FA0"/>
          <w:sz w:val="26"/>
          <w:szCs w:val="26"/>
        </w:rPr>
        <w:t xml:space="preserve">IX. FUTURE SCOPE</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following enhancements are planned for subsequent development iterations:</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11111"/>
          <w:sz w:val="22"/>
          <w:szCs w:val="22"/>
        </w:rPr>
        <w:t xml:space="preserve">Real-Time Market Data Integration: Connecting to Tracxn, Crunchbase, and NSE/BSE startup funding APIs to ground revenue projections in verified market activity rather than parametric AI estimates.</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11111"/>
          <w:sz w:val="22"/>
          <w:szCs w:val="22"/>
        </w:rPr>
        <w:t xml:space="preserve">Automated Pitch Deck Generation: Exporting the AI evaluation as a professionally styled presentation (PPTX or HTML) automatically seeded with the project score, verdict, revenue charts, and monetization roadmap—eliminating manual deck preparation.</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11111"/>
          <w:sz w:val="22"/>
          <w:szCs w:val="22"/>
        </w:rPr>
        <w:t xml:space="preserve">Investor Matching System: A curated database of angel investors, VC firms, and government schemes (Startup India, MSME grants) matched to project type, domain, and funding stage based on the AI evaluation output.</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11111"/>
          <w:sz w:val="22"/>
          <w:szCs w:val="22"/>
        </w:rPr>
        <w:t xml:space="preserve">User Accounts and Analysis History: Persistent storage of previous evaluations enabling students to track the evolution of their idea across refinement iterations and compare multiple project concepts.</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11111"/>
          <w:sz w:val="22"/>
          <w:szCs w:val="22"/>
        </w:rPr>
        <w:t xml:space="preserve">Mobile Application: A React Native port enabling on-the-go project evaluation, particularly relevant for students at hackathons and innovation fairs where laptop access may be limited.</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11111"/>
          <w:sz w:val="22"/>
          <w:szCs w:val="22"/>
        </w:rPr>
        <w:t xml:space="preserve">Multi-Model Ensemble Evaluation: Running the same project description through multiple LLMs and aggregating scores to reduce individual model bias and increase evaluation reliability.</w:t>
      </w:r>
    </w:p>
    <w:p>
      <w:pPr>
        <w:pStyle w:val="ListParagraph"/>
        <w:numPr>
          <w:ilvl w:val="0"/>
          <w:numId w:val="2"/>
        </w:numPr>
        <w:spacing w:after="40" w:before="40"/>
      </w:pPr>
      <w:r>
        <w:rPr>
          <w:rFonts w:ascii="Times New Roman" w:cs="Times New Roman" w:eastAsia="Times New Roman" w:hAnsi="Times New Roman"/>
          <w:b w:val="false"/>
          <w:bCs w:val="false"/>
          <w:i w:val="false"/>
          <w:iCs w:val="false"/>
          <w:color w:val="111111"/>
          <w:sz w:val="22"/>
          <w:szCs w:val="22"/>
        </w:rPr>
        <w:t xml:space="preserve">University Integration API: An institutional API allowing universities to embed the evaluation engine in their LMS (Moodle, Canvas) as a capstone project assessment tool.</w:t>
      </w:r>
    </w:p>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pBdr>
          <w:bottom w:val="single" w:color="1A4FA0" w:sz="10" w:space="2"/>
        </w:pBdr>
        <w:spacing w:after="120" w:before="260"/>
        <w:jc w:val="left"/>
      </w:pPr>
      <w:r>
        <w:rPr>
          <w:rFonts w:ascii="Times New Roman" w:cs="Times New Roman" w:eastAsia="Times New Roman" w:hAnsi="Times New Roman"/>
          <w:b/>
          <w:bCs/>
          <w:i w:val="false"/>
          <w:iCs w:val="false"/>
          <w:color w:val="1A4FA0"/>
          <w:sz w:val="26"/>
          <w:szCs w:val="26"/>
        </w:rPr>
        <w:t xml:space="preserve">X. CONCLUSION</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This paper has presented the Project-to-Income Engine, a full-stack AI-powered platform that transforms free-text student project descriptions into structured commercial evaluations encompassing viability scores, three-scenario revenue projections, and multi-step monetization strategies. Built on Next.js 16, React 19, TypeScript, and Tailwind CSS v4, with an Anthropic Claude backend enforcing a structured JSON output schema, the system demonstrates that production-grade AI business intelligence can be delivered in a lightweight, serverless-compatible web application.</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Experimental validation during the hackathon submission confirmed end-to-end functional correctness, returning a score of 7.8/10 and revenue projections of ₹2 Cr–₹25 Cr+ for the platform's own concept—an instructive demonstration of the system evaluating itself. The iterative refinement feature, which dynamically recalculates analysis based on user constraints without session management overhead, represents the primary UX innovation of the platform.</w:t>
      </w:r>
    </w:p>
    <w:p>
      <w:pPr>
        <w:spacing w:after="40" w:before="0"/>
      </w:pPr>
      <w:r>
        <w:rPr>
          <w:rFonts w:ascii="Times New Roman" w:cs="Times New Roman" w:eastAsia="Times New Roman" w:hAnsi="Times New Roman"/>
          <w:b w:val="false"/>
          <w:bCs w:val="false"/>
          <w:i w:val="false"/>
          <w:iCs w:val="false"/>
          <w:color w:val="111111"/>
          <w:sz w:val="22"/>
          <w:szCs w:val="22"/>
        </w:rPr>
        <w:t xml:space="preserve"/>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Project-to-Income Engine contributes a replicable architectural pattern—structured prompt contracts, stateless refinement, and JSON schema enforcement at the LLM boundary—that may be adapted for any domain requiring AI-powered structured evaluation. More broadly, it represents a concrete step toward a future where student academic innovation is not the end of the journey, but the beginning of an entrepreneurial one.</w:t>
      </w:r>
    </w:p>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pBdr>
          <w:bottom w:val="single" w:color="1A4FA0" w:sz="10" w:space="2"/>
        </w:pBdr>
        <w:spacing w:after="120" w:before="260"/>
        <w:jc w:val="left"/>
      </w:pPr>
      <w:r>
        <w:rPr>
          <w:rFonts w:ascii="Times New Roman" w:cs="Times New Roman" w:eastAsia="Times New Roman" w:hAnsi="Times New Roman"/>
          <w:b/>
          <w:bCs/>
          <w:i w:val="false"/>
          <w:iCs w:val="false"/>
          <w:color w:val="1A4FA0"/>
          <w:sz w:val="26"/>
          <w:szCs w:val="26"/>
        </w:rPr>
        <w:t xml:space="preserve">ACKNOWLEDGMENT</w:t>
      </w:r>
    </w:p>
    <w:p>
      <w:pPr>
        <w:spacing w:after="60" w:before="60"/>
        <w:jc w:val="both"/>
      </w:pPr>
      <w:r>
        <w:rPr>
          <w:rFonts w:ascii="Times New Roman" w:cs="Times New Roman" w:eastAsia="Times New Roman" w:hAnsi="Times New Roman"/>
          <w:b w:val="false"/>
          <w:bCs w:val="false"/>
          <w:i w:val="false"/>
          <w:iCs w:val="false"/>
          <w:color w:val="111111"/>
          <w:sz w:val="22"/>
          <w:szCs w:val="22"/>
        </w:rPr>
        <w:t xml:space="preserve">The author acknowledges VIT Bhopal University for providing the academic environment and hackathon platform that motivated this work. The author also thanks the Anthropic team for the Claude API and the Next.js core team for the Next.js 16 release, both of which were essential infrastructure components of this project.</w:t>
      </w:r>
    </w:p>
    <w:p>
      <w:pPr>
        <w:spacing w:after="80" w:before="0"/>
      </w:pPr>
      <w:r>
        <w:rPr>
          <w:rFonts w:ascii="Times New Roman" w:cs="Times New Roman" w:eastAsia="Times New Roman" w:hAnsi="Times New Roman"/>
          <w:b w:val="false"/>
          <w:bCs w:val="false"/>
          <w:i w:val="false"/>
          <w:iCs w:val="false"/>
          <w:color w:val="111111"/>
          <w:sz w:val="22"/>
          <w:szCs w:val="22"/>
        </w:rPr>
        <w:t xml:space="preserve"/>
      </w:r>
    </w:p>
    <w:p>
      <w:pPr>
        <w:pBdr>
          <w:bottom w:val="single" w:color="1A4FA0" w:sz="10" w:space="2"/>
        </w:pBdr>
        <w:spacing w:after="120" w:before="260"/>
        <w:jc w:val="left"/>
      </w:pPr>
      <w:r>
        <w:rPr>
          <w:rFonts w:ascii="Times New Roman" w:cs="Times New Roman" w:eastAsia="Times New Roman" w:hAnsi="Times New Roman"/>
          <w:b/>
          <w:bCs/>
          <w:i w:val="false"/>
          <w:iCs w:val="false"/>
          <w:color w:val="1A4FA0"/>
          <w:sz w:val="26"/>
          <w:szCs w:val="26"/>
        </w:rPr>
        <w:t xml:space="preserve">REFERENCES</w:t>
      </w:r>
    </w:p>
    <w:p>
      <w:pPr>
        <w:spacing w:after="40" w:before="40"/>
        <w:jc w:val="both"/>
      </w:pPr>
      <w:r>
        <w:rPr>
          <w:rFonts w:ascii="Times New Roman" w:cs="Times New Roman" w:eastAsia="Times New Roman" w:hAnsi="Times New Roman"/>
          <w:b/>
          <w:bCs/>
          <w:i w:val="false"/>
          <w:iCs w:val="false"/>
          <w:color w:val="111111"/>
          <w:sz w:val="22"/>
          <w:szCs w:val="22"/>
        </w:rPr>
        <w:t xml:space="preserve">[1]  </w:t>
      </w:r>
      <w:r>
        <w:rPr>
          <w:rFonts w:ascii="Times New Roman" w:cs="Times New Roman" w:eastAsia="Times New Roman" w:hAnsi="Times New Roman"/>
          <w:b w:val="false"/>
          <w:bCs w:val="false"/>
          <w:i w:val="false"/>
          <w:iCs w:val="false"/>
          <w:color w:val="111111"/>
          <w:sz w:val="22"/>
          <w:szCs w:val="22"/>
        </w:rPr>
        <w:t xml:space="preserve">A. Osterwalder and Y. Pigneur, Business Model Generation. Wiley, 2010.</w:t>
      </w:r>
    </w:p>
    <w:p>
      <w:pPr>
        <w:spacing w:after="40" w:before="40"/>
        <w:jc w:val="both"/>
      </w:pPr>
      <w:r>
        <w:rPr>
          <w:rFonts w:ascii="Times New Roman" w:cs="Times New Roman" w:eastAsia="Times New Roman" w:hAnsi="Times New Roman"/>
          <w:b/>
          <w:bCs/>
          <w:i w:val="false"/>
          <w:iCs w:val="false"/>
          <w:color w:val="111111"/>
          <w:sz w:val="22"/>
          <w:szCs w:val="22"/>
        </w:rPr>
        <w:t xml:space="preserve">[2]  </w:t>
      </w:r>
      <w:r>
        <w:rPr>
          <w:rFonts w:ascii="Times New Roman" w:cs="Times New Roman" w:eastAsia="Times New Roman" w:hAnsi="Times New Roman"/>
          <w:b w:val="false"/>
          <w:bCs w:val="false"/>
          <w:i w:val="false"/>
          <w:iCs w:val="false"/>
          <w:color w:val="111111"/>
          <w:sz w:val="22"/>
          <w:szCs w:val="22"/>
        </w:rPr>
        <w:t xml:space="preserve">A. Maurya, Running Lean: Iterate from Plan A to a Plan That Works, 2nd ed. O'Reilly Media, 2012.</w:t>
      </w:r>
    </w:p>
    <w:p>
      <w:pPr>
        <w:spacing w:after="40" w:before="40"/>
        <w:jc w:val="both"/>
      </w:pPr>
      <w:r>
        <w:rPr>
          <w:rFonts w:ascii="Times New Roman" w:cs="Times New Roman" w:eastAsia="Times New Roman" w:hAnsi="Times New Roman"/>
          <w:b/>
          <w:bCs/>
          <w:i w:val="false"/>
          <w:iCs w:val="false"/>
          <w:color w:val="111111"/>
          <w:sz w:val="22"/>
          <w:szCs w:val="22"/>
        </w:rPr>
        <w:t xml:space="preserve">[3]  </w:t>
      </w:r>
      <w:r>
        <w:rPr>
          <w:rFonts w:ascii="Times New Roman" w:cs="Times New Roman" w:eastAsia="Times New Roman" w:hAnsi="Times New Roman"/>
          <w:b w:val="false"/>
          <w:bCs w:val="false"/>
          <w:i w:val="false"/>
          <w:iCs w:val="false"/>
          <w:color w:val="111111"/>
          <w:sz w:val="22"/>
          <w:szCs w:val="22"/>
        </w:rPr>
        <w:t xml:space="preserve">T. Brown et al., "Language Models are Few-Shot Learners," in Proc. NeurIPS, 2020.</w:t>
      </w:r>
    </w:p>
    <w:p>
      <w:pPr>
        <w:spacing w:after="40" w:before="40"/>
        <w:jc w:val="both"/>
      </w:pPr>
      <w:r>
        <w:rPr>
          <w:rFonts w:ascii="Times New Roman" w:cs="Times New Roman" w:eastAsia="Times New Roman" w:hAnsi="Times New Roman"/>
          <w:b/>
          <w:bCs/>
          <w:i w:val="false"/>
          <w:iCs w:val="false"/>
          <w:color w:val="111111"/>
          <w:sz w:val="22"/>
          <w:szCs w:val="22"/>
        </w:rPr>
        <w:t xml:space="preserve">[4]  </w:t>
      </w:r>
      <w:r>
        <w:rPr>
          <w:rFonts w:ascii="Times New Roman" w:cs="Times New Roman" w:eastAsia="Times New Roman" w:hAnsi="Times New Roman"/>
          <w:b w:val="false"/>
          <w:bCs w:val="false"/>
          <w:i w:val="false"/>
          <w:iCs w:val="false"/>
          <w:color w:val="111111"/>
          <w:sz w:val="22"/>
          <w:szCs w:val="22"/>
        </w:rPr>
        <w:t xml:space="preserve">Anthropic, "Claude API Documentation," 2024. [Online]. Available: https://docs.anthropic.com</w:t>
      </w:r>
    </w:p>
    <w:p>
      <w:pPr>
        <w:spacing w:after="40" w:before="40"/>
        <w:jc w:val="both"/>
      </w:pPr>
      <w:r>
        <w:rPr>
          <w:rFonts w:ascii="Times New Roman" w:cs="Times New Roman" w:eastAsia="Times New Roman" w:hAnsi="Times New Roman"/>
          <w:b/>
          <w:bCs/>
          <w:i w:val="false"/>
          <w:iCs w:val="false"/>
          <w:color w:val="111111"/>
          <w:sz w:val="22"/>
          <w:szCs w:val="22"/>
        </w:rPr>
        <w:t xml:space="preserve">[5]  </w:t>
      </w:r>
      <w:r>
        <w:rPr>
          <w:rFonts w:ascii="Times New Roman" w:cs="Times New Roman" w:eastAsia="Times New Roman" w:hAnsi="Times New Roman"/>
          <w:b w:val="false"/>
          <w:bCs w:val="false"/>
          <w:i w:val="false"/>
          <w:iCs w:val="false"/>
          <w:color w:val="111111"/>
          <w:sz w:val="22"/>
          <w:szCs w:val="22"/>
        </w:rPr>
        <w:t xml:space="preserve">Vercel Inc., "Next.js 16 Documentation," 2024. [Online]. Available: https://nextjs.org/docs</w:t>
      </w:r>
    </w:p>
    <w:p>
      <w:pPr>
        <w:spacing w:after="40" w:before="40"/>
        <w:jc w:val="both"/>
      </w:pPr>
      <w:r>
        <w:rPr>
          <w:rFonts w:ascii="Times New Roman" w:cs="Times New Roman" w:eastAsia="Times New Roman" w:hAnsi="Times New Roman"/>
          <w:b/>
          <w:bCs/>
          <w:i w:val="false"/>
          <w:iCs w:val="false"/>
          <w:color w:val="111111"/>
          <w:sz w:val="22"/>
          <w:szCs w:val="22"/>
        </w:rPr>
        <w:t xml:space="preserve">[6]  </w:t>
      </w:r>
      <w:r>
        <w:rPr>
          <w:rFonts w:ascii="Times New Roman" w:cs="Times New Roman" w:eastAsia="Times New Roman" w:hAnsi="Times New Roman"/>
          <w:b w:val="false"/>
          <w:bCs w:val="false"/>
          <w:i w:val="false"/>
          <w:iCs w:val="false"/>
          <w:color w:val="111111"/>
          <w:sz w:val="22"/>
          <w:szCs w:val="22"/>
        </w:rPr>
        <w:t xml:space="preserve">Meta Open Source, "React 19 Release Notes," 2024. [Online]. Available: https://react.dev</w:t>
      </w:r>
    </w:p>
    <w:p>
      <w:pPr>
        <w:spacing w:after="40" w:before="40"/>
        <w:jc w:val="both"/>
      </w:pPr>
      <w:r>
        <w:rPr>
          <w:rFonts w:ascii="Times New Roman" w:cs="Times New Roman" w:eastAsia="Times New Roman" w:hAnsi="Times New Roman"/>
          <w:b/>
          <w:bCs/>
          <w:i w:val="false"/>
          <w:iCs w:val="false"/>
          <w:color w:val="111111"/>
          <w:sz w:val="22"/>
          <w:szCs w:val="22"/>
        </w:rPr>
        <w:t xml:space="preserve">[7]  </w:t>
      </w:r>
      <w:r>
        <w:rPr>
          <w:rFonts w:ascii="Times New Roman" w:cs="Times New Roman" w:eastAsia="Times New Roman" w:hAnsi="Times New Roman"/>
          <w:b w:val="false"/>
          <w:bCs w:val="false"/>
          <w:i w:val="false"/>
          <w:iCs w:val="false"/>
          <w:color w:val="111111"/>
          <w:sz w:val="22"/>
          <w:szCs w:val="22"/>
        </w:rPr>
        <w:t xml:space="preserve">Tailwind Labs, "Tailwind CSS v4 Documentation," 2024. [Online]. Available: https://tailwindcss.com</w:t>
      </w:r>
    </w:p>
    <w:p>
      <w:pPr>
        <w:spacing w:after="40" w:before="40"/>
        <w:jc w:val="both"/>
      </w:pPr>
      <w:r>
        <w:rPr>
          <w:rFonts w:ascii="Times New Roman" w:cs="Times New Roman" w:eastAsia="Times New Roman" w:hAnsi="Times New Roman"/>
          <w:b/>
          <w:bCs/>
          <w:i w:val="false"/>
          <w:iCs w:val="false"/>
          <w:color w:val="111111"/>
          <w:sz w:val="22"/>
          <w:szCs w:val="22"/>
        </w:rPr>
        <w:t xml:space="preserve">[8]  </w:t>
      </w:r>
      <w:r>
        <w:rPr>
          <w:rFonts w:ascii="Times New Roman" w:cs="Times New Roman" w:eastAsia="Times New Roman" w:hAnsi="Times New Roman"/>
          <w:b w:val="false"/>
          <w:bCs w:val="false"/>
          <w:i w:val="false"/>
          <w:iCs w:val="false"/>
          <w:color w:val="111111"/>
          <w:sz w:val="22"/>
          <w:szCs w:val="22"/>
        </w:rPr>
        <w:t xml:space="preserve">NASSCOM, "Indian SaaS Industry Report 2024," NASSCOM Foundation, New Delhi, 2024.</w:t>
      </w:r>
    </w:p>
    <w:p>
      <w:pPr>
        <w:spacing w:after="40" w:before="40"/>
        <w:jc w:val="both"/>
      </w:pPr>
      <w:r>
        <w:rPr>
          <w:rFonts w:ascii="Times New Roman" w:cs="Times New Roman" w:eastAsia="Times New Roman" w:hAnsi="Times New Roman"/>
          <w:b/>
          <w:bCs/>
          <w:i w:val="false"/>
          <w:iCs w:val="false"/>
          <w:color w:val="111111"/>
          <w:sz w:val="22"/>
          <w:szCs w:val="22"/>
        </w:rPr>
        <w:t xml:space="preserve">[9]  </w:t>
      </w:r>
      <w:r>
        <w:rPr>
          <w:rFonts w:ascii="Times New Roman" w:cs="Times New Roman" w:eastAsia="Times New Roman" w:hAnsi="Times New Roman"/>
          <w:b w:val="false"/>
          <w:bCs w:val="false"/>
          <w:i w:val="false"/>
          <w:iCs w:val="false"/>
          <w:color w:val="111111"/>
          <w:sz w:val="22"/>
          <w:szCs w:val="22"/>
        </w:rPr>
        <w:t xml:space="preserve">Startup India, "State of Indian Startup Ecosystem Report," DPIIT, Government of India, 2024.</w:t>
      </w:r>
    </w:p>
    <w:p>
      <w:pPr>
        <w:spacing w:after="40" w:before="40"/>
        <w:jc w:val="both"/>
      </w:pPr>
      <w:r>
        <w:rPr>
          <w:rFonts w:ascii="Times New Roman" w:cs="Times New Roman" w:eastAsia="Times New Roman" w:hAnsi="Times New Roman"/>
          <w:b/>
          <w:bCs/>
          <w:i w:val="false"/>
          <w:iCs w:val="false"/>
          <w:color w:val="111111"/>
          <w:sz w:val="22"/>
          <w:szCs w:val="22"/>
        </w:rPr>
        <w:t xml:space="preserve">[10] </w:t>
      </w:r>
      <w:r>
        <w:rPr>
          <w:rFonts w:ascii="Times New Roman" w:cs="Times New Roman" w:eastAsia="Times New Roman" w:hAnsi="Times New Roman"/>
          <w:b w:val="false"/>
          <w:bCs w:val="false"/>
          <w:i w:val="false"/>
          <w:iCs w:val="false"/>
          <w:color w:val="111111"/>
          <w:sz w:val="22"/>
          <w:szCs w:val="22"/>
        </w:rPr>
        <w:t xml:space="preserve">J. Wei et al., "Chain-of-Thought Prompting Elicits Reasoning in Large Language Models," in Proc. NeurIPS, 2022.</w:t>
      </w:r>
    </w:p>
    <w:p>
      <w:pPr>
        <w:spacing w:after="80" w:before="0"/>
      </w:pPr>
      <w:r>
        <w:rPr>
          <w:rFonts w:ascii="Times New Roman" w:cs="Times New Roman" w:eastAsia="Times New Roman" w:hAnsi="Times New Roman"/>
          <w:b w:val="false"/>
          <w:bCs w:val="false"/>
          <w:i w:val="false"/>
          <w:iCs w:val="false"/>
          <w:color w:val="111111"/>
          <w:sz w:val="22"/>
          <w:szCs w:val="22"/>
        </w:rP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FA0" w:sz="4" w:space="1"/>
      </w:pBdr>
      <w:spacing w:before="80"/>
      <w:jc w:val="center"/>
    </w:pPr>
    <w:r>
      <w:rPr>
        <w:rFonts w:ascii="Times New Roman" w:cs="Times New Roman" w:eastAsia="Times New Roman" w:hAnsi="Times New Roman"/>
        <w:b w:val="false"/>
        <w:bCs w:val="false"/>
        <w:i w:val="false"/>
        <w:iCs w:val="false"/>
        <w:color w:val="777777"/>
        <w:sz w:val="16"/>
        <w:szCs w:val="16"/>
      </w:rPr>
      <w:t xml:space="preserve">Hackathon Submission 2024  |  VIT Bhopal University  |  AI-Powered Student Innovation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4FA0" w:sz="6" w:space="1"/>
      </w:pBdr>
      <w:spacing w:after="80"/>
      <w:jc w:val="center"/>
    </w:pPr>
    <w:r>
      <w:rPr>
        <w:rFonts w:ascii="Times New Roman" w:cs="Times New Roman" w:eastAsia="Times New Roman" w:hAnsi="Times New Roman"/>
        <w:b/>
        <w:bCs/>
        <w:i w:val="false"/>
        <w:iCs w:val="false"/>
        <w:color w:val="1A4FA0"/>
        <w:sz w:val="18"/>
        <w:szCs w:val="18"/>
      </w:rPr>
      <w:t xml:space="preserve">IEEE FORMAT PROJECT REPORT  |  Project-to-Income Engine  |  Paras Jain, VIT Bhopal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2026-04-09T22:56:27.614Z</dcterms:created>
  <dcterms:modified xsi:type="dcterms:W3CDTF">2026-04-09T22:56:27.615Z</dcterms:modified>
</cp:coreProperties>
</file>

<file path=docProps/custom.xml><?xml version="1.0" encoding="utf-8"?>
<Properties xmlns="http://schemas.openxmlformats.org/officeDocument/2006/custom-properties" xmlns:vt="http://schemas.openxmlformats.org/officeDocument/2006/docPropsVTypes"/>
</file>