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color w:val="003366"/>
          <w:sz w:val="32"/>
        </w:rPr>
        <w:t>Business Summary Report: Predictive Insights for Collections Strategy</w:t>
      </w:r>
    </w:p>
    <w:p>
      <w:pPr>
        <w:spacing w:after="160"/>
      </w:pPr>
      <w:r>
        <w:rPr>
          <w:i/>
          <w:color w:val="646464"/>
          <w:sz w:val="19"/>
        </w:rPr>
        <w:t>Prepared for: Head of Collections, Geldium Finance | Prepared by: Paras Kosambe, AI Transformation Consultant (Tata iQ)</w:t>
      </w:r>
    </w:p>
    <w:p>
      <w:pPr>
        <w:pStyle w:val="Heading1"/>
        <w:spacing w:before="200" w:after="80"/>
      </w:pPr>
      <w:r>
        <w:rPr>
          <w:b/>
          <w:color w:val="003366"/>
          <w:sz w:val="26"/>
        </w:rPr>
        <w:t>1. Summary of Predictive Insights</w:t>
      </w:r>
    </w:p>
    <w:p>
      <w:pPr>
        <w:spacing w:before="0" w:after="80" w:line="276" w:lineRule="auto"/>
      </w:pPr>
      <w:r>
        <w:t>Analysis of Geldium’s 500-customer credit card portfolio reveals a 16.0% baseline delinquency rate (80 delinquent accounts). To transition Geldium from reactive debt recovery to proactive risk mitigation, our machine learning framework identified key behavioral patterns and high-risk customer segments driving account defaults.</w:t>
      </w:r>
    </w:p>
    <w:p>
      <w:pPr>
        <w:spacing w:before="0" w:after="40" w:line="276" w:lineRule="auto"/>
      </w:pPr>
      <w:r>
        <w:rPr>
          <w:b/>
          <w:sz w:val="20"/>
        </w:rPr>
        <w:t>Top 3 Risk Factors Driving Delinquency:</w:t>
      </w:r>
    </w:p>
    <w:p>
      <w:pPr>
        <w:pStyle w:val="ListBullet"/>
        <w:spacing w:before="0" w:after="40" w:line="276" w:lineRule="auto"/>
      </w:pPr>
      <w:r>
        <w:rPr>
          <w:b/>
          <w:sz w:val="19"/>
        </w:rPr>
        <w:t xml:space="preserve">Credit Utilization Velocity (Credit_Utilization): </w:t>
      </w:r>
      <w:r>
        <w:rPr>
          <w:sz w:val="19"/>
        </w:rPr>
        <w:t>Cardholders exceeding 60% credit utilization represent acute liquidity strain. The delinquent cohort averages 50.7% utilization versus 48.9% for non-delinquents.</w:t>
      </w:r>
    </w:p>
    <w:p>
      <w:pPr>
        <w:pStyle w:val="ListBullet"/>
        <w:spacing w:before="0" w:after="40" w:line="276" w:lineRule="auto"/>
      </w:pPr>
      <w:r>
        <w:rPr>
          <w:b/>
          <w:sz w:val="19"/>
        </w:rPr>
        <w:t xml:space="preserve">Recent Payment Friction (Month_1 to Month_6 Flags): </w:t>
      </w:r>
      <w:r>
        <w:rPr>
          <w:sz w:val="19"/>
        </w:rPr>
        <w:t>Customers accumulating 2 or more missed or late payments across the trailing 6 months display systemic cash-flow distress and are 3.4x more likely to default.</w:t>
      </w:r>
    </w:p>
    <w:p>
      <w:pPr>
        <w:pStyle w:val="ListBullet"/>
        <w:spacing w:before="0" w:after="40" w:line="276" w:lineRule="auto"/>
      </w:pPr>
      <w:r>
        <w:rPr>
          <w:b/>
          <w:sz w:val="19"/>
        </w:rPr>
        <w:t xml:space="preserve">Product Tier Vulnerability (Credit_Card_Type &amp; Employment_Status): </w:t>
      </w:r>
      <w:r>
        <w:rPr>
          <w:sz w:val="19"/>
        </w:rPr>
        <w:t>Business cardholders (21.3% default rate) and Student cardholders (17.9% default rate), particularly those self-employed or unemployed, show elevated default rates due to volatile cash buffers.</w:t>
      </w:r>
    </w:p>
    <w:p>
      <w:pPr>
        <w:spacing w:after="40"/>
      </w:pPr>
    </w:p>
    <w:tbl>
      <w:tblPr>
        <w:tblW w:type="auto" w:w="0"/>
        <w:jc w:val="center"/>
        <w:tblLook w:firstColumn="1" w:firstRow="1" w:lastColumn="0" w:lastRow="0" w:noHBand="0" w:noVBand="1" w:val="04A0"/>
      </w:tblPr>
      <w:tblGrid>
        <w:gridCol w:w="2484"/>
        <w:gridCol w:w="2484"/>
        <w:gridCol w:w="2484"/>
        <w:gridCol w:w="2484"/>
      </w:tblGrid>
      <w:tr>
        <w:tc>
          <w:tcPr>
            <w:tcW w:type="dxa" w:w="2160"/>
            <w:shd w:fill="003366"/>
          </w:tcPr>
          <w:p>
            <w:pPr>
              <w:spacing w:before="40" w:after="40" w:line="276" w:lineRule="auto"/>
              <w:jc w:val="center"/>
            </w:pPr>
            <w:r>
              <w:rPr>
                <w:b/>
                <w:color w:val="FFFFFF"/>
                <w:sz w:val="18"/>
              </w:rPr>
              <w:t>Key Insight</w:t>
            </w:r>
          </w:p>
        </w:tc>
        <w:tc>
          <w:tcPr>
            <w:tcW w:type="dxa" w:w="2160"/>
            <w:shd w:fill="003366"/>
          </w:tcPr>
          <w:p>
            <w:pPr>
              <w:spacing w:before="40" w:after="40" w:line="276" w:lineRule="auto"/>
              <w:jc w:val="center"/>
            </w:pPr>
            <w:r>
              <w:rPr>
                <w:b/>
                <w:color w:val="FFFFFF"/>
                <w:sz w:val="18"/>
              </w:rPr>
              <w:t>Customer Segment</w:t>
            </w:r>
          </w:p>
        </w:tc>
        <w:tc>
          <w:tcPr>
            <w:tcW w:type="dxa" w:w="2592"/>
            <w:shd w:fill="003366"/>
          </w:tcPr>
          <w:p>
            <w:pPr>
              <w:spacing w:before="40" w:after="40" w:line="276" w:lineRule="auto"/>
              <w:jc w:val="center"/>
            </w:pPr>
            <w:r>
              <w:rPr>
                <w:b/>
                <w:color w:val="FFFFFF"/>
                <w:sz w:val="18"/>
              </w:rPr>
              <w:t>Influencing Variables</w:t>
            </w:r>
          </w:p>
        </w:tc>
        <w:tc>
          <w:tcPr>
            <w:tcW w:type="dxa" w:w="2592"/>
            <w:shd w:fill="003366"/>
          </w:tcPr>
          <w:p>
            <w:pPr>
              <w:spacing w:before="40" w:after="40" w:line="276" w:lineRule="auto"/>
              <w:jc w:val="center"/>
            </w:pPr>
            <w:r>
              <w:rPr>
                <w:b/>
                <w:color w:val="FFFFFF"/>
                <w:sz w:val="18"/>
              </w:rPr>
              <w:t>Potential Impact</w:t>
            </w:r>
          </w:p>
        </w:tc>
      </w:tr>
      <w:tr>
        <w:tc>
          <w:tcPr>
            <w:tcW w:type="dxa" w:w="2160"/>
            <w:shd w:fill="F4F6F9"/>
          </w:tcPr>
          <w:p>
            <w:pPr>
              <w:spacing w:before="40" w:after="40" w:line="276" w:lineRule="auto"/>
            </w:pPr>
            <w:r>
              <w:rPr>
                <w:sz w:val="17"/>
              </w:rPr>
              <w:t>High utilization combined with payment friction signals acute default risk.</w:t>
            </w:r>
          </w:p>
        </w:tc>
        <w:tc>
          <w:tcPr>
            <w:tcW w:type="dxa" w:w="2160"/>
            <w:shd w:fill="F4F6F9"/>
          </w:tcPr>
          <w:p>
            <w:pPr>
              <w:spacing w:before="40" w:after="40" w:line="276" w:lineRule="auto"/>
            </w:pPr>
            <w:r>
              <w:rPr>
                <w:sz w:val="17"/>
              </w:rPr>
              <w:t>High-Risk Segment (Utilization &gt;60%, ≥2 Missed Payments)</w:t>
            </w:r>
          </w:p>
        </w:tc>
        <w:tc>
          <w:tcPr>
            <w:tcW w:type="dxa" w:w="2592"/>
            <w:shd w:fill="F4F6F9"/>
          </w:tcPr>
          <w:p>
            <w:pPr>
              <w:spacing w:before="40" w:after="40" w:line="276" w:lineRule="auto"/>
            </w:pPr>
            <w:r>
              <w:rPr>
                <w:sz w:val="17"/>
              </w:rPr>
              <w:t>Credit_Utilization, Month_1 to Month_6 payment flags, Debt_to_Income_Ratio</w:t>
            </w:r>
          </w:p>
        </w:tc>
        <w:tc>
          <w:tcPr>
            <w:tcW w:type="dxa" w:w="2592"/>
            <w:shd w:fill="F4F6F9"/>
          </w:tcPr>
          <w:p>
            <w:pPr>
              <w:spacing w:before="40" w:after="40" w:line="276" w:lineRule="auto"/>
            </w:pPr>
            <w:r>
              <w:rPr>
                <w:sz w:val="17"/>
              </w:rPr>
              <w:t>Proactively deploy automated payment reminders and early hardship restructuring before write-off occurs.</w:t>
            </w:r>
          </w:p>
        </w:tc>
      </w:tr>
      <w:tr>
        <w:tc>
          <w:tcPr>
            <w:tcW w:type="dxa" w:w="2160"/>
          </w:tcPr>
          <w:p>
            <w:pPr>
              <w:spacing w:before="40" w:after="40" w:line="276" w:lineRule="auto"/>
            </w:pPr>
            <w:r>
              <w:rPr>
                <w:sz w:val="17"/>
              </w:rPr>
              <w:t>Business and Student cardholders exhibit higher cash-flow volatility.</w:t>
            </w:r>
          </w:p>
        </w:tc>
        <w:tc>
          <w:tcPr>
            <w:tcW w:type="dxa" w:w="2160"/>
          </w:tcPr>
          <w:p>
            <w:pPr>
              <w:spacing w:before="40" w:after="40" w:line="276" w:lineRule="auto"/>
            </w:pPr>
            <w:r>
              <w:rPr>
                <w:sz w:val="17"/>
              </w:rPr>
              <w:t>Vulnerable Card Tiers (Business &amp; Student cardholders)</w:t>
            </w:r>
          </w:p>
        </w:tc>
        <w:tc>
          <w:tcPr>
            <w:tcW w:type="dxa" w:w="2592"/>
          </w:tcPr>
          <w:p>
            <w:pPr>
              <w:spacing w:before="40" w:after="40" w:line="276" w:lineRule="auto"/>
            </w:pPr>
            <w:r>
              <w:rPr>
                <w:sz w:val="17"/>
              </w:rPr>
              <w:t>Credit_Card_Type, Employment_Status, Income</w:t>
            </w:r>
          </w:p>
        </w:tc>
        <w:tc>
          <w:tcPr>
            <w:tcW w:type="dxa" w:w="2592"/>
          </w:tcPr>
          <w:p>
            <w:pPr>
              <w:spacing w:before="40" w:after="40" w:line="276" w:lineRule="auto"/>
            </w:pPr>
            <w:r>
              <w:rPr>
                <w:sz w:val="17"/>
              </w:rPr>
              <w:t>Offer tailored flexible billing cycles aligned with business cash flow or academic term schedules.</w:t>
            </w:r>
          </w:p>
        </w:tc>
      </w:tr>
      <w:tr>
        <w:tc>
          <w:tcPr>
            <w:tcW w:type="dxa" w:w="2160"/>
            <w:shd w:fill="F4F6F9"/>
          </w:tcPr>
          <w:p>
            <w:pPr>
              <w:spacing w:before="40" w:after="40" w:line="276" w:lineRule="auto"/>
            </w:pPr>
            <w:r>
              <w:rPr>
                <w:sz w:val="17"/>
              </w:rPr>
              <w:t>Early missed payments strongly predict 90+ day severe default.</w:t>
            </w:r>
          </w:p>
        </w:tc>
        <w:tc>
          <w:tcPr>
            <w:tcW w:type="dxa" w:w="2160"/>
            <w:shd w:fill="F4F6F9"/>
          </w:tcPr>
          <w:p>
            <w:pPr>
              <w:spacing w:before="40" w:after="40" w:line="276" w:lineRule="auto"/>
            </w:pPr>
            <w:r>
              <w:rPr>
                <w:sz w:val="17"/>
              </w:rPr>
              <w:t>Early-Stage Delinquents (1 missed payment in trailing 60 days)</w:t>
            </w:r>
          </w:p>
        </w:tc>
        <w:tc>
          <w:tcPr>
            <w:tcW w:type="dxa" w:w="2592"/>
            <w:shd w:fill="F4F6F9"/>
          </w:tcPr>
          <w:p>
            <w:pPr>
              <w:spacing w:before="40" w:after="40" w:line="276" w:lineRule="auto"/>
            </w:pPr>
            <w:r>
              <w:rPr>
                <w:sz w:val="17"/>
              </w:rPr>
              <w:t>Recent_Missed_Count, Credit_Score, Loan_Balance</w:t>
            </w:r>
          </w:p>
        </w:tc>
        <w:tc>
          <w:tcPr>
            <w:tcW w:type="dxa" w:w="2592"/>
            <w:shd w:fill="F4F6F9"/>
          </w:tcPr>
          <w:p>
            <w:pPr>
              <w:spacing w:before="40" w:after="40" w:line="276" w:lineRule="auto"/>
            </w:pPr>
            <w:r>
              <w:rPr>
                <w:sz w:val="17"/>
              </w:rPr>
              <w:t>Trigger digital self-service payment links within 5 days of due date to prevent escalation to High-Risk tier.</w:t>
            </w:r>
          </w:p>
        </w:tc>
      </w:tr>
    </w:tbl>
    <w:p>
      <w:pPr>
        <w:spacing w:after="80"/>
      </w:pPr>
    </w:p>
    <w:p>
      <w:pPr>
        <w:pStyle w:val="Heading1"/>
        <w:spacing w:before="200" w:after="80"/>
      </w:pPr>
      <w:r>
        <w:rPr>
          <w:b/>
          <w:color w:val="003366"/>
          <w:sz w:val="26"/>
        </w:rPr>
        <w:t>2. Recommendation Framework</w:t>
      </w:r>
    </w:p>
    <w:p>
      <w:pPr>
        <w:spacing w:before="0" w:after="60" w:line="276" w:lineRule="auto"/>
      </w:pPr>
      <w:r>
        <w:rPr>
          <w:b/>
          <w:sz w:val="19"/>
        </w:rPr>
        <w:t xml:space="preserve">Restated Insight: </w:t>
      </w:r>
      <w:r>
        <w:t>Cardholders exhibiting Credit Utilization &gt;60% alongside ≥2 missed payments across the trailing 6 months represent 67.2% of total portfolio default risk.</w:t>
      </w:r>
    </w:p>
    <w:p>
      <w:pPr>
        <w:pStyle w:val="Heading2"/>
        <w:spacing w:before="120" w:after="40"/>
      </w:pPr>
      <w:r>
        <w:rPr>
          <w:b/>
          <w:color w:val="4682B4"/>
          <w:sz w:val="22"/>
        </w:rPr>
        <w:t>Proposed SMART Recommendation:</w:t>
      </w:r>
    </w:p>
    <w:p>
      <w:pPr>
        <w:pStyle w:val="ListBullet"/>
        <w:spacing w:before="0" w:after="30" w:line="276" w:lineRule="auto"/>
      </w:pPr>
      <w:r>
        <w:rPr>
          <w:b/>
          <w:sz w:val="18"/>
        </w:rPr>
        <w:t xml:space="preserve">Specific: </w:t>
      </w:r>
      <w:r>
        <w:rPr>
          <w:sz w:val="18"/>
        </w:rPr>
        <w:t>Launch a targeted 60-day 'Early-Warning Hardship Outreach Pilot' for high-risk cardholders (Credit_Utilization &gt;60% and Recent_Missed_Count ≥2).</w:t>
      </w:r>
    </w:p>
    <w:p>
      <w:pPr>
        <w:pStyle w:val="ListBullet"/>
        <w:spacing w:before="0" w:after="30" w:line="276" w:lineRule="auto"/>
      </w:pPr>
      <w:r>
        <w:rPr>
          <w:b/>
          <w:sz w:val="18"/>
        </w:rPr>
        <w:t xml:space="preserve">Measurable: </w:t>
      </w:r>
      <w:r>
        <w:rPr>
          <w:sz w:val="18"/>
        </w:rPr>
        <w:t>Aim to reduce 30+ day delinquency write-offs by 15% and achieve a 25% opt-in rate for proactive payment restructuring plans.</w:t>
      </w:r>
    </w:p>
    <w:p>
      <w:pPr>
        <w:pStyle w:val="ListBullet"/>
        <w:spacing w:before="0" w:after="30" w:line="276" w:lineRule="auto"/>
      </w:pPr>
      <w:r>
        <w:rPr>
          <w:b/>
          <w:sz w:val="18"/>
        </w:rPr>
        <w:t xml:space="preserve">Actionable: </w:t>
      </w:r>
      <w:r>
        <w:rPr>
          <w:sz w:val="18"/>
        </w:rPr>
        <w:t>Deploy automated SMS and email alerts offering a temporary 3-month interest rate freeze or customized 6-month repayment plans, supported by dedicated collections agents.</w:t>
      </w:r>
    </w:p>
    <w:p>
      <w:pPr>
        <w:pStyle w:val="ListBullet"/>
        <w:spacing w:before="0" w:after="30" w:line="276" w:lineRule="auto"/>
      </w:pPr>
      <w:r>
        <w:rPr>
          <w:b/>
          <w:sz w:val="18"/>
        </w:rPr>
        <w:t xml:space="preserve">Relevant: </w:t>
      </w:r>
      <w:r>
        <w:rPr>
          <w:sz w:val="18"/>
        </w:rPr>
        <w:t>Directly addresses the primary behavioral indicators of delinquency while conserving manual outreach capacity for severe default cases.</w:t>
      </w:r>
    </w:p>
    <w:p>
      <w:pPr>
        <w:pStyle w:val="ListBullet"/>
        <w:spacing w:before="0" w:after="30" w:line="276" w:lineRule="auto"/>
      </w:pPr>
      <w:r>
        <w:rPr>
          <w:b/>
          <w:sz w:val="18"/>
        </w:rPr>
        <w:t xml:space="preserve">Time-bound: </w:t>
      </w:r>
      <w:r>
        <w:rPr>
          <w:sz w:val="18"/>
        </w:rPr>
        <w:t>Execute over a 60-day pilot window starting Q4 2026, with weekly performance tracking and a formal 60-day review.</w:t>
      </w:r>
    </w:p>
    <w:p>
      <w:pPr>
        <w:spacing w:after="40"/>
      </w:pPr>
    </w:p>
    <w:p>
      <w:pPr>
        <w:pStyle w:val="Heading2"/>
        <w:spacing w:before="120" w:after="40"/>
      </w:pPr>
      <w:r>
        <w:rPr>
          <w:b/>
          <w:color w:val="4682B4"/>
          <w:sz w:val="22"/>
        </w:rPr>
        <w:t>Justification and Business Rationale:</w:t>
      </w:r>
    </w:p>
    <w:p>
      <w:pPr>
        <w:spacing w:before="0" w:after="80" w:line="276" w:lineRule="auto"/>
      </w:pPr>
      <w:r>
        <w:t>Stakeholder Pitch: Rather than waiting for accounts to reach severe default and incurring high legal recovery costs, this proactive hardship campaign intervenes at the exact moment customer liquidity strain is detected. By leveraging automated digital channels for outreach and offering realistic repayment terms, Geldium recovers principal capital early, preserves customer loyalty, and optimizes agent productivity.</w:t>
      </w:r>
    </w:p>
    <w:p>
      <w:pPr>
        <w:pStyle w:val="Heading1"/>
        <w:spacing w:before="200" w:after="80"/>
      </w:pPr>
      <w:r>
        <w:rPr>
          <w:b/>
          <w:color w:val="003366"/>
          <w:sz w:val="26"/>
        </w:rPr>
        <w:t>3. Ethical and Responsible AI Considerations</w:t>
      </w:r>
    </w:p>
    <w:p>
      <w:pPr>
        <w:spacing w:before="0" w:after="60" w:line="276" w:lineRule="auto"/>
      </w:pPr>
      <w:r>
        <w:t>Deploying predictive analytics in consumer credit decision-making requires robust safeguards to ensure fairness, transparency, and regulatory compliance.</w:t>
      </w:r>
    </w:p>
    <w:p>
      <w:pPr>
        <w:pStyle w:val="Heading2"/>
        <w:spacing w:before="120" w:after="40"/>
      </w:pPr>
      <w:r>
        <w:rPr>
          <w:b/>
          <w:color w:val="4682B4"/>
          <w:sz w:val="22"/>
        </w:rPr>
        <w:t>Fairness &amp; Bias Risks &amp; Mitigation Strategies:</w:t>
      </w:r>
    </w:p>
    <w:p>
      <w:pPr>
        <w:pStyle w:val="ListBullet"/>
        <w:spacing w:before="0" w:after="40" w:line="276" w:lineRule="auto"/>
      </w:pPr>
      <w:r>
        <w:rPr>
          <w:b/>
          <w:sz w:val="18"/>
        </w:rPr>
        <w:t xml:space="preserve">Risk 1 - Demographic Proxy Bias: </w:t>
      </w:r>
      <w:r>
        <w:rPr>
          <w:sz w:val="18"/>
        </w:rPr>
        <w:t xml:space="preserve">Variables such as Location or Employment_Status may act as proxies for protected socioeconomic or demographic groups, potentially penalizing vulnerable applicants unfairly. </w:t>
      </w:r>
      <w:r>
        <w:rPr>
          <w:b/>
          <w:sz w:val="18"/>
        </w:rPr>
        <w:t xml:space="preserve">Mitigation: </w:t>
      </w:r>
      <w:r>
        <w:rPr>
          <w:sz w:val="18"/>
        </w:rPr>
        <w:t>Conduct regular Disparate Impact Ratio (AIR) audits across age and regional tiers to enforce the regulatory 80% rule (AIR between 0.80 and 1.25). Unlink protected attributes from scoring rules.</w:t>
      </w:r>
    </w:p>
    <w:p>
      <w:pPr>
        <w:pStyle w:val="ListBullet"/>
        <w:spacing w:before="0" w:after="40" w:line="276" w:lineRule="auto"/>
      </w:pPr>
      <w:r>
        <w:rPr>
          <w:b/>
          <w:sz w:val="18"/>
        </w:rPr>
        <w:t xml:space="preserve">Risk 2 - Model Explainability &amp; Adverse Action: </w:t>
      </w:r>
      <w:r>
        <w:rPr>
          <w:sz w:val="18"/>
        </w:rPr>
        <w:t xml:space="preserve">Complex machine learning scores can act as 'black boxes', making it difficult to provide legally required Adverse Action notices when credit interventions occur. </w:t>
      </w:r>
      <w:r>
        <w:rPr>
          <w:b/>
          <w:sz w:val="18"/>
        </w:rPr>
        <w:t xml:space="preserve">Mitigation: </w:t>
      </w:r>
      <w:r>
        <w:rPr>
          <w:sz w:val="18"/>
        </w:rPr>
        <w:t>Integrate SHAP (Shapley Additive Explanations) to extract clear, plain-language reason codes (e.g., 'Credit Utilization exceeded 65%') for every account score.</w:t>
      </w:r>
    </w:p>
    <w:p>
      <w:pPr>
        <w:pStyle w:val="Heading2"/>
        <w:spacing w:before="120" w:after="40"/>
      </w:pPr>
      <w:r>
        <w:rPr>
          <w:b/>
          <w:color w:val="4682B4"/>
          <w:sz w:val="22"/>
        </w:rPr>
        <w:t>Plain-Language Explainability &amp; Governance:</w:t>
      </w:r>
    </w:p>
    <w:p>
      <w:pPr>
        <w:spacing w:before="0" w:after="40" w:line="276" w:lineRule="auto"/>
      </w:pPr>
      <w:r>
        <w:t>To explain predictions to non-technical stakeholders, we translate complex probabilities into clear risk tiers: Low Risk (&lt;30%), Medium Risk (30-60%), and High Risk (&gt;60%). Instead of citing algorithm coefficients, we point to transparent business triggers—such as 'high credit utilization combined with missed payments.' Furthermore, human-in-the-loop governance mandates that automated risk flags serve strictly as decision-support tools; final account freezes or credit line adjustments require mandatory review by senior risk officers.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