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96C8" w14:textId="77777777" w:rsidR="00346B07" w:rsidRDefault="00000000">
      <w:pPr>
        <w:pStyle w:val="Title"/>
      </w:pPr>
      <w:r>
        <w:t>Exploratory Data Analysis (EDA) Summary Report</w:t>
      </w:r>
    </w:p>
    <w:p w14:paraId="43E23EF6" w14:textId="77777777" w:rsidR="00346B07" w:rsidRDefault="00000000">
      <w:r>
        <w:t>Project: Geldium Finance Delinquency Prediction Solution</w:t>
      </w:r>
      <w:r>
        <w:br/>
        <w:t>Prepared by: Paras Kosambe, AI Transformation Consultant (Tata iQ)</w:t>
      </w:r>
      <w:r>
        <w:br/>
        <w:t>Supervised by: Charithra, Senior Manager (Tata iQ)</w:t>
      </w:r>
      <w:r>
        <w:br/>
      </w:r>
    </w:p>
    <w:p w14:paraId="59964812" w14:textId="77777777" w:rsidR="00346B07" w:rsidRDefault="00000000">
      <w:pPr>
        <w:pStyle w:val="Heading1"/>
      </w:pPr>
      <w:r>
        <w:t>1. Introduction</w:t>
      </w:r>
    </w:p>
    <w:p w14:paraId="7557B92C" w14:textId="7EC01743" w:rsidR="00346B07" w:rsidRDefault="00000000">
      <w:r>
        <w:t>The primary purpose of this report is to present the Exploratory Data Analysis (EDA) findings on Geldium Finance's customer portfolio dataset [cite: 1]. Geldium Finance is experiencing an increase in credit card delinquency rates exceeding the 30-day late payment threshold. The goal of this EDA phase is to evaluate dataset completeness, identify key behavioral patterns, flag data inconsistencies or anomalies, and establish a clean, reliable data foundation for building downstream AI-driven predictive risk models and intervention frameworks.</w:t>
      </w:r>
    </w:p>
    <w:p w14:paraId="4167B6A2" w14:textId="77777777" w:rsidR="00346B07" w:rsidRDefault="00000000">
      <w:pPr>
        <w:pStyle w:val="Heading1"/>
      </w:pPr>
      <w:r>
        <w:t>2. Dataset Overview</w:t>
      </w:r>
    </w:p>
    <w:p w14:paraId="42D64330" w14:textId="071D464B" w:rsidR="00346B07" w:rsidRDefault="00000000">
      <w:r>
        <w:t>This section summarizes the structure, volume, and attributes of the Geldium customer dataset analyzed during this phase.</w:t>
      </w:r>
      <w:r>
        <w:br/>
      </w:r>
      <w:r>
        <w:br/>
        <w:t>Key dataset attributes:</w:t>
      </w:r>
      <w:r>
        <w:br/>
        <w:t>• Number of records: 500 unique customer accounts (0 duplicate Customer_IDs found) [cite: 1].</w:t>
      </w:r>
      <w:r>
        <w:br/>
        <w:t>• Key variables: Customer_ID, Age, Income, Credit_Score, Credit_Utilization, Missed_Payments, Delinquent_Account (Target), Loan_Balance, Debt_to_Income_Ratio, Employment_Status, Account_Tenure, Credit_Card_Type, Location, and 6-Month Payment History (Month_1 to Month_6).</w:t>
      </w:r>
      <w:r>
        <w:br/>
        <w:t>• Data types: Numerical (Continuous &amp; Discrete: Age, Income, Credit_Score, Credit_Utilization, Missed_Payments, Loan_Balance, Debt_to_Income_Ratio, Account_Tenure), Categorical (Employment_Status, Credit_Card_Type, Location, Month_1 to Month_6), and Binary Target (Delinquent_Account: 0=No [84%], 1=Yes [16%]).</w:t>
      </w:r>
      <w:r>
        <w:br/>
      </w:r>
      <w:r>
        <w:br/>
        <w:t>Observed Anomalies &amp; Inconsistencies:</w:t>
      </w:r>
      <w:r>
        <w:br/>
        <w:t>1. Categorical Formatting Inconsistency: The 'Employment_Status' field contained duplicate semantic categories due to case variations and abbreviations ('Employed', 'employed', 'EMP'). Standardized cleaning consolidated these into 4 distinct groups: Employed (240), Unemployed (93), Retired (87), and Self-employed (80).</w:t>
      </w:r>
      <w:r>
        <w:br/>
        <w:t xml:space="preserve">2. Credit Utilization Boundary Exceedance: 4 records (e.g., CUST0090 at 102.58%) exhibited </w:t>
      </w:r>
      <w:r>
        <w:lastRenderedPageBreak/>
        <w:t>Credit Utilization ratios exceeding 1.0 (100%), indicating over-limit account activity.</w:t>
      </w:r>
      <w:r>
        <w:br/>
        <w:t>3. Class Imbalance: The target variable 'Delinquent_Account' is imbalanced, with only 16% positive delinquent cases (80 out of 500).</w:t>
      </w:r>
    </w:p>
    <w:p w14:paraId="30DC5637" w14:textId="77777777" w:rsidR="00346B07" w:rsidRDefault="00000000">
      <w:pPr>
        <w:pStyle w:val="Heading1"/>
      </w:pPr>
      <w:r>
        <w:t>3. Missing Data Analysis</w:t>
      </w:r>
    </w:p>
    <w:p w14:paraId="0FE4444A" w14:textId="20046828" w:rsidR="00346B07" w:rsidRDefault="00000000">
      <w:r>
        <w:t>Addressing missing data is critical to preventing prediction bias and model degradation. Missing value distribution and handling treatments are outlined below:</w:t>
      </w:r>
      <w:r>
        <w:br/>
      </w:r>
      <w:r>
        <w:br/>
        <w:t>Key missing data findings:</w:t>
      </w:r>
      <w:r>
        <w:br/>
        <w:t>• Variables with missing values: Income (39 missing records / 7.8%), Loan_Balance (29 missing records / 5.8%), Credit_Score (2 missing records / 0.4%).</w:t>
      </w:r>
      <w:r>
        <w:br/>
        <w:t>• Missing data mechanism: Statistical checks indicate missingness follows a Missing at Random (MAR) pattern, where missingness correlates weakly with employment status or account tenure.</w:t>
      </w:r>
      <w:r>
        <w:br/>
        <w:t>• Missing data treatment:</w:t>
      </w:r>
      <w:r>
        <w:br/>
        <w:t xml:space="preserve">  - Income &amp; Loan Balance: Median Imputation (Income median = $107,658; Loan Balance median = $45,776). Median imputation was chosen over mean imputation due to right-skewness in financial distribution metrics.</w:t>
      </w:r>
      <w:r>
        <w:br/>
        <w:t xml:space="preserve">  - Credit Score: Median Imputation (Median = 586.0).</w:t>
      </w:r>
      <w:r>
        <w:br/>
        <w:t xml:space="preserve">  - Synthetic Data Supplementation: For edge-case scenario testing and balancing delinquent classes, synthetic data sampling (SMOTE / Bootstrap statistical simulations) will be utilized as a secondary tool in model development without exposing customer PII.</w:t>
      </w:r>
    </w:p>
    <w:p w14:paraId="431C8939" w14:textId="77777777" w:rsidR="00346B07" w:rsidRDefault="00000000">
      <w:pPr>
        <w:pStyle w:val="Heading1"/>
      </w:pPr>
      <w:r>
        <w:t>4. Key Findings and Risk Indicators</w:t>
      </w:r>
    </w:p>
    <w:p w14:paraId="38C92E58" w14:textId="321F9817" w:rsidR="00346B07" w:rsidRDefault="00000000">
      <w:r>
        <w:t>This section outlines patterns and statistical risk indicators uncovered during bivariate and correlation analysis:</w:t>
      </w:r>
      <w:r>
        <w:br/>
      </w:r>
      <w:r>
        <w:br/>
        <w:t>Key findings:</w:t>
      </w:r>
      <w:r>
        <w:br/>
        <w:t>• Primary Risk Drivers: High credit utilization (&gt;65%), high debt-to-income ratios (&gt;0.35), and consecutive late/missed payments in Month_5 and Month_6 serve as early indicators of 30+ day delinquency.</w:t>
      </w:r>
      <w:r>
        <w:br/>
        <w:t>• Correlations observed between key variables: Income and Credit Score exhibit low direct linear correlation with the binary delinquency flag, indicating that delinquency in this portfolio is driven more heavily by recent cash-flow shocks and monthly payment velocity rather than static demographic metrics.</w:t>
      </w:r>
      <w:r>
        <w:br/>
        <w:t>• Unexpected anomalies: Linear correlation between static historical 'Missed_Payments' (past 12 months) and current 'Delinquent_Account' status was weak (-0.026), demonstrating that static features fail to capture non-linear behavioral shifts</w:t>
      </w:r>
      <w:r w:rsidR="001E593E">
        <w:t>.</w:t>
      </w:r>
      <w:r>
        <w:t xml:space="preserve"> Non-linear ML algorithms (e.g., Random Forest, XGBoost) will be necessary to capture complex interactions.</w:t>
      </w:r>
    </w:p>
    <w:p w14:paraId="1903A942" w14:textId="77777777" w:rsidR="00346B07" w:rsidRDefault="00000000">
      <w:pPr>
        <w:pStyle w:val="Heading1"/>
      </w:pPr>
      <w:r>
        <w:lastRenderedPageBreak/>
        <w:t>5. AI &amp; GenAI Usage</w:t>
      </w:r>
    </w:p>
    <w:p w14:paraId="3C8100CC" w14:textId="22F169E6" w:rsidR="00346B07" w:rsidRDefault="00000000">
      <w:r>
        <w:t>Generative AI tools (ChatGPT / Claude / Google Gemini) were leveraged throughout the EDA phase to accelerate code generation, automate schema analysis, and structure domain-specific imputation strategies while enforcing zero-PII data privacy rules.</w:t>
      </w:r>
      <w:r>
        <w:br/>
      </w:r>
      <w:r>
        <w:br/>
        <w:t>Example AI prompts used:</w:t>
      </w:r>
      <w:r>
        <w:br/>
        <w:t>• 'Analyze this credit card dataset schema and identify categorical inconsistencies, missing data percentages, and data type mismatches.'</w:t>
      </w:r>
      <w:r>
        <w:br/>
        <w:t>• 'Suggest an imputation strategy for missing income and loan balance values in a consumer credit dataset, comparing mean, median, and KNN imputation against industry regulatory guidelines.'</w:t>
      </w:r>
      <w:r>
        <w:br/>
        <w:t>• 'Synthesize key statistical trends in customer payment history to recommend tiered collections intervention levels for the Head of Collections.'</w:t>
      </w:r>
    </w:p>
    <w:p w14:paraId="3C087850" w14:textId="77777777" w:rsidR="00346B07" w:rsidRDefault="00000000">
      <w:pPr>
        <w:pStyle w:val="Heading1"/>
      </w:pPr>
      <w:r>
        <w:t>6. Conclusion &amp; Next Steps</w:t>
      </w:r>
    </w:p>
    <w:p w14:paraId="2BFC659D" w14:textId="01DE266D" w:rsidR="00346B07" w:rsidRDefault="00000000">
      <w:r>
        <w:t>Conclusion: The foundational dataset has been thoroughly audited, cleaned, and categorized [cite: 1]. While individual feature correlations are complex, structural pattern analysis provides a solid basis for predictive risk scoring.</w:t>
      </w:r>
      <w:r>
        <w:br/>
      </w:r>
      <w:r>
        <w:br/>
        <w:t>Recommended Next Steps:</w:t>
      </w:r>
      <w:r>
        <w:br/>
        <w:t>1. Feature Engineering: Construct dynamic behavioral metrics such as 3-month payment trend velocity, credit utilization trajectory, and payment ratio.</w:t>
      </w:r>
      <w:r>
        <w:br/>
        <w:t>2. Model Development: Train machine learning models (Logistic Regression, Decision Trees, XGBoost) to generate proactive risk probability scores for each account.</w:t>
      </w:r>
      <w:r>
        <w:br/>
        <w:t>3. Collections Intervention Framework: Structure tiered outreach recommendations (automated reminders vs. restructuring calls) based on predicted risk tiers.</w:t>
      </w:r>
      <w:r>
        <w:br/>
        <w:t>4. Governance &amp; Ethics: Implement SHAP/LIME explainability frameworks to ensure compliance with Fair Lending regulations and avoid demographic bias.</w:t>
      </w:r>
    </w:p>
    <w:sectPr w:rsidR="00346B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849055">
    <w:abstractNumId w:val="8"/>
  </w:num>
  <w:num w:numId="2" w16cid:durableId="845369431">
    <w:abstractNumId w:val="6"/>
  </w:num>
  <w:num w:numId="3" w16cid:durableId="798575510">
    <w:abstractNumId w:val="5"/>
  </w:num>
  <w:num w:numId="4" w16cid:durableId="154732919">
    <w:abstractNumId w:val="4"/>
  </w:num>
  <w:num w:numId="5" w16cid:durableId="616713405">
    <w:abstractNumId w:val="7"/>
  </w:num>
  <w:num w:numId="6" w16cid:durableId="1673993249">
    <w:abstractNumId w:val="3"/>
  </w:num>
  <w:num w:numId="7" w16cid:durableId="837428686">
    <w:abstractNumId w:val="2"/>
  </w:num>
  <w:num w:numId="8" w16cid:durableId="1876190952">
    <w:abstractNumId w:val="1"/>
  </w:num>
  <w:num w:numId="9" w16cid:durableId="200608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86C"/>
    <w:rsid w:val="0015074B"/>
    <w:rsid w:val="001E593E"/>
    <w:rsid w:val="0029639D"/>
    <w:rsid w:val="00326F90"/>
    <w:rsid w:val="00346B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B79A7"/>
  <w14:defaultImageDpi w14:val="300"/>
  <w15:docId w15:val="{2487AF14-445F-4EAB-895D-81C97E5A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 kosambe</cp:lastModifiedBy>
  <cp:revision>2</cp:revision>
  <dcterms:created xsi:type="dcterms:W3CDTF">2013-12-23T23:15:00Z</dcterms:created>
  <dcterms:modified xsi:type="dcterms:W3CDTF">2026-09-22T03:04:00Z</dcterms:modified>
  <cp:category/>
</cp:coreProperties>
</file>