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6661"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PREDICTIVE MODEL PLAN – TASK 2 SUBMISSION</w:t>
      </w:r>
    </w:p>
    <w:p w14:paraId="02A86432"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Project: Geldium Finance Delinquency Prediction Solution</w:t>
      </w:r>
    </w:p>
    <w:p w14:paraId="1118742F"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Author: Paras Kosambe | AI Transformation Consultant (Tata iQ)</w:t>
      </w:r>
    </w:p>
    <w:p w14:paraId="722DF462"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Supervised by: Charithra, Senior Manager (Tata iQ)</w:t>
      </w:r>
    </w:p>
    <w:p w14:paraId="6805451E" w14:textId="77777777" w:rsidR="00124954" w:rsidRPr="00A86A6A" w:rsidRDefault="00124954" w:rsidP="00124954">
      <w:pPr>
        <w:rPr>
          <w:rFonts w:ascii="Arial" w:hAnsi="Arial" w:cs="Arial"/>
          <w:b/>
          <w:bCs/>
          <w:i w:val="0"/>
          <w:iCs w:val="0"/>
          <w:sz w:val="18"/>
          <w:szCs w:val="18"/>
        </w:rPr>
      </w:pPr>
    </w:p>
    <w:p w14:paraId="2D3970EF"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w:t>
      </w:r>
    </w:p>
    <w:p w14:paraId="0FAE3CEC"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1. MODEL LOGIC (GENERATED WITH GENAI)</w:t>
      </w:r>
    </w:p>
    <w:p w14:paraId="2A63D0C6"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w:t>
      </w:r>
    </w:p>
    <w:p w14:paraId="702F706B" w14:textId="0706C1E9"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The predictive modeling pipeline processes customer credit data through a structured 4-stage machine learning workflow designed to score delinquency risk (binary target: Delinquent_Account = 0/1):</w:t>
      </w:r>
    </w:p>
    <w:p w14:paraId="66F8BBFE"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1. Data Ingestion &amp; Preprocessing: Handles median imputation for missing numerical values (Income, Loan_Balance, Credit_Score) and applies One-Hot Encoding to categorical variables (Employment_Status, Location, Credit_Card_Type, Month_1 to Month_6 payment flags).</w:t>
      </w:r>
    </w:p>
    <w:p w14:paraId="6F50FAAE"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2. Feature Engineering: Constructs dynamic behavioral variables including 'Recent_Missed_Count' (sum of missed payments across Month_1 to Month_6) and 'Utilization_DTI_Interaction' (Credit_Utilization * Debt_to_Income_Ratio).</w:t>
      </w:r>
    </w:p>
    <w:p w14:paraId="10ADC546"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3. Class Rebalancing &amp; Predictive Modeling: Utilizes a Decision Tree / Random Forest Classifier with balanced class weights to compensate for the 84% Non-Delinquent vs. 16% Delinquent target imbalance.</w:t>
      </w:r>
    </w:p>
    <w:p w14:paraId="7575BCCF"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4. Risk Scoring Output: Converts output leaf probability thresholds into actionable risk tiers (Low Risk: &lt;30%, Medium Risk: 30%-60%, High Risk: &gt;60%) for proactive collections outreach.</w:t>
      </w:r>
    </w:p>
    <w:p w14:paraId="40D93BBF" w14:textId="77777777" w:rsidR="00124954" w:rsidRPr="00A86A6A" w:rsidRDefault="00124954" w:rsidP="00124954">
      <w:pPr>
        <w:rPr>
          <w:rFonts w:ascii="Arial" w:hAnsi="Arial" w:cs="Arial"/>
          <w:b/>
          <w:bCs/>
          <w:i w:val="0"/>
          <w:iCs w:val="0"/>
          <w:sz w:val="18"/>
          <w:szCs w:val="18"/>
        </w:rPr>
      </w:pPr>
    </w:p>
    <w:p w14:paraId="68D5F39D"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w:t>
      </w:r>
    </w:p>
    <w:p w14:paraId="72EFB715"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2. JUSTIFICATION FOR MODEL CHOICE</w:t>
      </w:r>
    </w:p>
    <w:p w14:paraId="714F93CA"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w:t>
      </w:r>
    </w:p>
    <w:p w14:paraId="14E5B3A2"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A Cost-Sensitive Decision Tree (supplemented by Gradient Boosted / Random Forest Ensembles with SHAP) was selected as the optimal modeling approach for Geldium Finance because it effectively balances predictive performance with strict regulatory transparency requirements. In consumer financial risk management, models must produce transparent, auditable decision paths to comply with Fair Lending regulations and generate clear Adverse Action notices for high-risk credit account holders. Decision trees naturally capture non-linear interactions and threshold cutoffs (such as Credit Utilization exceeding 65% combined with consecutive late payments in Month_5 and Month_6) without requiring complex variable transformations. Furthermore, unlike opaque 'black-box' neural networks, decision trees allow Geldium's Head of Collections to translate model rules directly into operational outreach workflows—enabling automated, tiered interventions while maintaining full governance and regulatory compliance.</w:t>
      </w:r>
    </w:p>
    <w:p w14:paraId="4B28FC15" w14:textId="77777777" w:rsidR="00124954" w:rsidRPr="00A86A6A" w:rsidRDefault="00124954" w:rsidP="00124954">
      <w:pPr>
        <w:rPr>
          <w:rFonts w:ascii="Arial" w:hAnsi="Arial" w:cs="Arial"/>
          <w:b/>
          <w:bCs/>
          <w:i w:val="0"/>
          <w:iCs w:val="0"/>
          <w:sz w:val="18"/>
          <w:szCs w:val="18"/>
        </w:rPr>
      </w:pPr>
    </w:p>
    <w:p w14:paraId="7E5B8E3D"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w:t>
      </w:r>
    </w:p>
    <w:p w14:paraId="196CA77C"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3. EVALUATION STRATEGY</w:t>
      </w:r>
    </w:p>
    <w:p w14:paraId="7861F41E"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w:t>
      </w:r>
    </w:p>
    <w:p w14:paraId="6CB3FE5C" w14:textId="2949C47D"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To ensure the predictive model operates both accurately and ethically, performance will be evaluated across a comprehensive validation framework:</w:t>
      </w:r>
    </w:p>
    <w:p w14:paraId="5031EE95"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 Primary Performance Metrics: Due to the 84:16 class imbalance, standard accuracy is misleading. The model will be evaluated using Recall (Sensitivity) to minimize False Negatives (missing default accounts), Precision to prevent operational over-outreach to healthy accounts, F1-Score for balanced evaluation, and AUC-ROC (target &gt;0.80) to measure risk-ranking capability across probability thresholds.</w:t>
      </w:r>
    </w:p>
    <w:p w14:paraId="269A97FB"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 Disparate Impact &amp; Demographic Parity Audits: Fairness will be rigorously evaluated by auditing the Disparate Impact Ratio (Adverse Impact Ratio) across protected demographic categories (Age groups, Employment Status, Location). The ratio of positive delinquent predictions across groups must remain within the regulatory standard of 0.80 to 1.25 (80% rule).</w:t>
      </w:r>
    </w:p>
    <w:p w14:paraId="13C54776" w14:textId="77777777" w:rsidR="00124954" w:rsidRPr="00A86A6A" w:rsidRDefault="00124954" w:rsidP="00124954">
      <w:pPr>
        <w:rPr>
          <w:rFonts w:ascii="Arial" w:hAnsi="Arial" w:cs="Arial"/>
          <w:b/>
          <w:bCs/>
          <w:i w:val="0"/>
          <w:iCs w:val="0"/>
          <w:sz w:val="18"/>
          <w:szCs w:val="18"/>
        </w:rPr>
      </w:pPr>
      <w:r w:rsidRPr="00A86A6A">
        <w:rPr>
          <w:rFonts w:ascii="Arial" w:hAnsi="Arial" w:cs="Arial"/>
          <w:b/>
          <w:bCs/>
          <w:i w:val="0"/>
          <w:iCs w:val="0"/>
          <w:sz w:val="18"/>
          <w:szCs w:val="18"/>
        </w:rPr>
        <w:t>• Model Interpretability via SHAP: SHAP (Shapley Additive Explanations) will be integrated to extract local and global feature importance, explaining individual account risk drivers to eliminate proxy bias (e.g., verifying Location does not act as an illegal proxy for socio-economic background).</w:t>
      </w:r>
    </w:p>
    <w:p w14:paraId="2D2F0295" w14:textId="12533417" w:rsidR="004B5529" w:rsidRPr="00A86A6A" w:rsidRDefault="00124954" w:rsidP="00124954">
      <w:pPr>
        <w:rPr>
          <w:sz w:val="18"/>
          <w:szCs w:val="18"/>
        </w:rPr>
      </w:pPr>
      <w:r w:rsidRPr="00A86A6A">
        <w:rPr>
          <w:rFonts w:ascii="Arial" w:hAnsi="Arial" w:cs="Arial"/>
          <w:b/>
          <w:bCs/>
          <w:i w:val="0"/>
          <w:iCs w:val="0"/>
          <w:sz w:val="18"/>
          <w:szCs w:val="18"/>
        </w:rPr>
        <w:t>• Threshold Optimization &amp; Refinement: The decision threshold will be adjusted downward from 0.50 to ~0.30 to prioritize high Recall, ensuring proactive early-warning triggers for the Collections team before default occurs.</w:t>
      </w:r>
    </w:p>
    <w:sectPr w:rsidR="004B5529" w:rsidRPr="00A86A6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AAB45" w14:textId="77777777" w:rsidR="00167736" w:rsidRDefault="00167736" w:rsidP="00E31114">
      <w:pPr>
        <w:spacing w:after="0" w:line="240" w:lineRule="auto"/>
      </w:pPr>
      <w:r>
        <w:separator/>
      </w:r>
    </w:p>
  </w:endnote>
  <w:endnote w:type="continuationSeparator" w:id="0">
    <w:p w14:paraId="37F09091" w14:textId="77777777" w:rsidR="00167736" w:rsidRDefault="00167736"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26FEC" w14:textId="77777777" w:rsidR="00167736" w:rsidRDefault="00167736" w:rsidP="00E31114">
      <w:pPr>
        <w:spacing w:after="0" w:line="240" w:lineRule="auto"/>
      </w:pPr>
      <w:r>
        <w:separator/>
      </w:r>
    </w:p>
  </w:footnote>
  <w:footnote w:type="continuationSeparator" w:id="0">
    <w:p w14:paraId="115F0DB3" w14:textId="77777777" w:rsidR="00167736" w:rsidRDefault="00167736"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954"/>
    <w:rsid w:val="0013786C"/>
    <w:rsid w:val="0015074B"/>
    <w:rsid w:val="00167736"/>
    <w:rsid w:val="0029639D"/>
    <w:rsid w:val="00326F90"/>
    <w:rsid w:val="004B5529"/>
    <w:rsid w:val="008237CA"/>
    <w:rsid w:val="00A86A6A"/>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paras kosambe</cp:lastModifiedBy>
  <cp:revision>4</cp:revision>
  <dcterms:created xsi:type="dcterms:W3CDTF">2013-12-23T23:15:00Z</dcterms:created>
  <dcterms:modified xsi:type="dcterms:W3CDTF">2026-09-22T04:07:00Z</dcterms:modified>
  <cp:category/>
</cp:coreProperties>
</file>