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0B" w:rsidRDefault="00ED7C0B">
      <w:pPr>
        <w:rPr>
          <w:b/>
          <w:sz w:val="44"/>
          <w:szCs w:val="44"/>
        </w:rPr>
      </w:pPr>
      <w:r w:rsidRPr="00ED7C0B">
        <w:rPr>
          <w:b/>
          <w:sz w:val="44"/>
          <w:szCs w:val="44"/>
        </w:rPr>
        <w:t>План развития инфраструктуры</w:t>
      </w:r>
      <w:bookmarkStart w:id="0" w:name="_GoBack"/>
      <w:bookmarkEnd w:id="0"/>
    </w:p>
    <w:tbl>
      <w:tblPr>
        <w:tblStyle w:val="a3"/>
        <w:tblW w:w="9373" w:type="dxa"/>
        <w:tblLook w:val="04A0" w:firstRow="1" w:lastRow="0" w:firstColumn="1" w:lastColumn="0" w:noHBand="0" w:noVBand="1"/>
      </w:tblPr>
      <w:tblGrid>
        <w:gridCol w:w="1754"/>
        <w:gridCol w:w="1915"/>
        <w:gridCol w:w="2257"/>
        <w:gridCol w:w="1715"/>
        <w:gridCol w:w="1732"/>
      </w:tblGrid>
      <w:tr w:rsidR="003E3FFF" w:rsidTr="003E3FFF">
        <w:trPr>
          <w:trHeight w:val="525"/>
        </w:trPr>
        <w:tc>
          <w:tcPr>
            <w:tcW w:w="1754" w:type="dxa"/>
          </w:tcPr>
          <w:p w:rsidR="00ED7C0B" w:rsidRDefault="00ED7C0B">
            <w:pPr>
              <w:rPr>
                <w:b/>
              </w:rPr>
            </w:pPr>
            <w:r>
              <w:rPr>
                <w:b/>
              </w:rPr>
              <w:t>Что делаем</w:t>
            </w:r>
          </w:p>
        </w:tc>
        <w:tc>
          <w:tcPr>
            <w:tcW w:w="1915" w:type="dxa"/>
          </w:tcPr>
          <w:p w:rsidR="00ED7C0B" w:rsidRDefault="00ED7C0B">
            <w:pPr>
              <w:rPr>
                <w:b/>
              </w:rPr>
            </w:pPr>
            <w:r>
              <w:rPr>
                <w:b/>
              </w:rPr>
              <w:t>Короткое описание</w:t>
            </w:r>
          </w:p>
        </w:tc>
        <w:tc>
          <w:tcPr>
            <w:tcW w:w="2257" w:type="dxa"/>
          </w:tcPr>
          <w:p w:rsidR="00ED7C0B" w:rsidRDefault="00ED7C0B">
            <w:pPr>
              <w:rPr>
                <w:b/>
              </w:rPr>
            </w:pPr>
            <w:r>
              <w:rPr>
                <w:b/>
              </w:rPr>
              <w:t>Цель, зачем</w:t>
            </w:r>
          </w:p>
        </w:tc>
        <w:tc>
          <w:tcPr>
            <w:tcW w:w="1715" w:type="dxa"/>
          </w:tcPr>
          <w:p w:rsidR="00ED7C0B" w:rsidRDefault="00ED7C0B">
            <w:pPr>
              <w:rPr>
                <w:b/>
              </w:rPr>
            </w:pPr>
            <w:r>
              <w:rPr>
                <w:b/>
              </w:rPr>
              <w:t>Время на выполнение</w:t>
            </w:r>
          </w:p>
        </w:tc>
        <w:tc>
          <w:tcPr>
            <w:tcW w:w="1732" w:type="dxa"/>
          </w:tcPr>
          <w:p w:rsidR="00ED7C0B" w:rsidRDefault="00ED7C0B">
            <w:pPr>
              <w:rPr>
                <w:b/>
              </w:rPr>
            </w:pPr>
            <w:r>
              <w:rPr>
                <w:b/>
              </w:rPr>
              <w:t>Очередность</w:t>
            </w:r>
          </w:p>
        </w:tc>
      </w:tr>
      <w:tr w:rsidR="003E3FFF" w:rsidTr="003E3FFF">
        <w:trPr>
          <w:trHeight w:val="1877"/>
        </w:trPr>
        <w:tc>
          <w:tcPr>
            <w:tcW w:w="1754" w:type="dxa"/>
          </w:tcPr>
          <w:p w:rsidR="00ED7C0B" w:rsidRPr="00ED7C0B" w:rsidRDefault="00ED7C0B" w:rsidP="00ED7C0B">
            <w:r>
              <w:t>УЦ на отдельный сервер</w:t>
            </w:r>
          </w:p>
        </w:tc>
        <w:tc>
          <w:tcPr>
            <w:tcW w:w="1915" w:type="dxa"/>
          </w:tcPr>
          <w:p w:rsidR="00ED7C0B" w:rsidRPr="00ED7C0B" w:rsidRDefault="00FF6F5F">
            <w:r>
              <w:t>Перевод удостоверяющего сервера на отдельный изолированный от сети сервер</w:t>
            </w:r>
          </w:p>
        </w:tc>
        <w:tc>
          <w:tcPr>
            <w:tcW w:w="2257" w:type="dxa"/>
          </w:tcPr>
          <w:p w:rsidR="00ED7C0B" w:rsidRPr="00ED7C0B" w:rsidRDefault="00FF6F5F">
            <w:r>
              <w:t>Безопасность, повышение надежности инфраструктуры (при выходе из строя другие сервисы остаются рабочими)</w:t>
            </w:r>
          </w:p>
        </w:tc>
        <w:tc>
          <w:tcPr>
            <w:tcW w:w="1715" w:type="dxa"/>
          </w:tcPr>
          <w:p w:rsidR="00ED7C0B" w:rsidRPr="00ED7C0B" w:rsidRDefault="00FF6F5F">
            <w:r>
              <w:t>2 недели</w:t>
            </w:r>
          </w:p>
        </w:tc>
        <w:tc>
          <w:tcPr>
            <w:tcW w:w="1732" w:type="dxa"/>
          </w:tcPr>
          <w:p w:rsidR="00ED7C0B" w:rsidRPr="00ED7C0B" w:rsidRDefault="00FF6F5F">
            <w:r>
              <w:t>1</w:t>
            </w:r>
          </w:p>
        </w:tc>
      </w:tr>
      <w:tr w:rsidR="003E3FFF" w:rsidTr="003E3FFF">
        <w:trPr>
          <w:trHeight w:val="1877"/>
        </w:trPr>
        <w:tc>
          <w:tcPr>
            <w:tcW w:w="1754" w:type="dxa"/>
          </w:tcPr>
          <w:p w:rsidR="00ED7C0B" w:rsidRPr="00ED7C0B" w:rsidRDefault="00ED7C0B">
            <w:r>
              <w:rPr>
                <w:lang w:val="en-US"/>
              </w:rPr>
              <w:t xml:space="preserve">Prometheus </w:t>
            </w:r>
            <w:r>
              <w:t>на отдельный сервер</w:t>
            </w:r>
          </w:p>
        </w:tc>
        <w:tc>
          <w:tcPr>
            <w:tcW w:w="1915" w:type="dxa"/>
          </w:tcPr>
          <w:p w:rsidR="00ED7C0B" w:rsidRPr="00ED7C0B" w:rsidRDefault="00FF6F5F" w:rsidP="00FF6F5F">
            <w:r>
              <w:t xml:space="preserve">Перевод </w:t>
            </w:r>
            <w:r>
              <w:t>системы мониторинга</w:t>
            </w:r>
            <w:r>
              <w:t xml:space="preserve"> на</w:t>
            </w:r>
            <w:r>
              <w:t xml:space="preserve"> отдельный </w:t>
            </w:r>
            <w:r>
              <w:t xml:space="preserve"> сервер</w:t>
            </w:r>
          </w:p>
        </w:tc>
        <w:tc>
          <w:tcPr>
            <w:tcW w:w="2257" w:type="dxa"/>
          </w:tcPr>
          <w:p w:rsidR="00ED7C0B" w:rsidRPr="00ED7C0B" w:rsidRDefault="00FF6F5F">
            <w:r>
              <w:t>Безопасность, повышение надежности инфраструктуры (при выходе из строя другие сервисы остаются рабочими)</w:t>
            </w:r>
          </w:p>
        </w:tc>
        <w:tc>
          <w:tcPr>
            <w:tcW w:w="1715" w:type="dxa"/>
          </w:tcPr>
          <w:p w:rsidR="00ED7C0B" w:rsidRPr="00ED7C0B" w:rsidRDefault="003E3FFF">
            <w:r>
              <w:t>1 неделя</w:t>
            </w:r>
          </w:p>
        </w:tc>
        <w:tc>
          <w:tcPr>
            <w:tcW w:w="1732" w:type="dxa"/>
          </w:tcPr>
          <w:p w:rsidR="00ED7C0B" w:rsidRPr="00ED7C0B" w:rsidRDefault="00FF6F5F">
            <w:r>
              <w:t>3</w:t>
            </w:r>
          </w:p>
        </w:tc>
      </w:tr>
      <w:tr w:rsidR="003E3FFF" w:rsidTr="003E3FFF">
        <w:trPr>
          <w:trHeight w:val="3228"/>
        </w:trPr>
        <w:tc>
          <w:tcPr>
            <w:tcW w:w="1754" w:type="dxa"/>
          </w:tcPr>
          <w:p w:rsidR="00ED7C0B" w:rsidRPr="00ED7C0B" w:rsidRDefault="00ED7C0B">
            <w:r>
              <w:t>Генерация ключа на стороне юзера</w:t>
            </w:r>
          </w:p>
        </w:tc>
        <w:tc>
          <w:tcPr>
            <w:tcW w:w="1915" w:type="dxa"/>
          </w:tcPr>
          <w:p w:rsidR="00ED7C0B" w:rsidRPr="00ED7C0B" w:rsidRDefault="00FF6F5F">
            <w:r>
              <w:t>Разработка и внедрение процедуры самостоятельной генерации ключа, формирование запроса за сертификат и передачи его на администратору пользователем.</w:t>
            </w:r>
          </w:p>
        </w:tc>
        <w:tc>
          <w:tcPr>
            <w:tcW w:w="2257" w:type="dxa"/>
          </w:tcPr>
          <w:p w:rsidR="00ED7C0B" w:rsidRPr="00FF6F5F" w:rsidRDefault="00FF6F5F">
            <w:r>
              <w:t xml:space="preserve">Безопасность, повышение гарантии конфиденциальности данных пользователя, исключение компрометации ключа пользователя </w:t>
            </w:r>
            <w:proofErr w:type="spellStart"/>
            <w:r>
              <w:t>адинистратором</w:t>
            </w:r>
            <w:proofErr w:type="spellEnd"/>
            <w:r>
              <w:t xml:space="preserve"> или иным сотрудником, имеющим доступ к серверу </w:t>
            </w:r>
            <w:r>
              <w:rPr>
                <w:lang w:val="en-US"/>
              </w:rPr>
              <w:t>VPN</w:t>
            </w:r>
          </w:p>
        </w:tc>
        <w:tc>
          <w:tcPr>
            <w:tcW w:w="1715" w:type="dxa"/>
          </w:tcPr>
          <w:p w:rsidR="00ED7C0B" w:rsidRPr="00ED7C0B" w:rsidRDefault="00FF6F5F">
            <w:r>
              <w:t xml:space="preserve">1 </w:t>
            </w:r>
            <w:proofErr w:type="spellStart"/>
            <w:r>
              <w:t>мес</w:t>
            </w:r>
            <w:proofErr w:type="spellEnd"/>
          </w:p>
        </w:tc>
        <w:tc>
          <w:tcPr>
            <w:tcW w:w="1732" w:type="dxa"/>
          </w:tcPr>
          <w:p w:rsidR="00ED7C0B" w:rsidRPr="00ED7C0B" w:rsidRDefault="00FF6F5F">
            <w:r>
              <w:t>2</w:t>
            </w:r>
          </w:p>
        </w:tc>
      </w:tr>
      <w:tr w:rsidR="003E3FFF" w:rsidTr="003E3FFF">
        <w:trPr>
          <w:trHeight w:val="2147"/>
        </w:trPr>
        <w:tc>
          <w:tcPr>
            <w:tcW w:w="1754" w:type="dxa"/>
          </w:tcPr>
          <w:p w:rsidR="00ED7C0B" w:rsidRDefault="00ED7C0B" w:rsidP="00ED7C0B">
            <w:r>
              <w:t>Почтовый клиент</w:t>
            </w:r>
          </w:p>
        </w:tc>
        <w:tc>
          <w:tcPr>
            <w:tcW w:w="1915" w:type="dxa"/>
          </w:tcPr>
          <w:p w:rsidR="00ED7C0B" w:rsidRPr="00ED7C0B" w:rsidRDefault="00AE7FAC">
            <w:r>
              <w:t>Поиск и внедрение несложного почтового сервиса в компанию</w:t>
            </w:r>
          </w:p>
        </w:tc>
        <w:tc>
          <w:tcPr>
            <w:tcW w:w="2257" w:type="dxa"/>
          </w:tcPr>
          <w:p w:rsidR="00ED7C0B" w:rsidRPr="00ED7C0B" w:rsidRDefault="00AE7FAC">
            <w:r>
              <w:t>Конфиденциальность данных, контроль за потоками данных сотрудников, удобство работы, повышение производительности компании</w:t>
            </w:r>
          </w:p>
        </w:tc>
        <w:tc>
          <w:tcPr>
            <w:tcW w:w="1715" w:type="dxa"/>
          </w:tcPr>
          <w:p w:rsidR="00ED7C0B" w:rsidRPr="00ED7C0B" w:rsidRDefault="00AE7FAC">
            <w:r>
              <w:t>1мес</w:t>
            </w:r>
          </w:p>
        </w:tc>
        <w:tc>
          <w:tcPr>
            <w:tcW w:w="1732" w:type="dxa"/>
          </w:tcPr>
          <w:p w:rsidR="00ED7C0B" w:rsidRPr="00ED7C0B" w:rsidRDefault="00AE7FAC">
            <w:r>
              <w:t>4</w:t>
            </w:r>
          </w:p>
        </w:tc>
      </w:tr>
      <w:tr w:rsidR="00FF6F5F" w:rsidTr="003E3FFF">
        <w:trPr>
          <w:trHeight w:val="1877"/>
        </w:trPr>
        <w:tc>
          <w:tcPr>
            <w:tcW w:w="1754" w:type="dxa"/>
          </w:tcPr>
          <w:p w:rsidR="00ED7C0B" w:rsidRDefault="00ED7C0B" w:rsidP="00ED7C0B">
            <w:r>
              <w:t>Хранилище данных</w:t>
            </w:r>
          </w:p>
        </w:tc>
        <w:tc>
          <w:tcPr>
            <w:tcW w:w="1915" w:type="dxa"/>
          </w:tcPr>
          <w:p w:rsidR="00ED7C0B" w:rsidRPr="00ED7C0B" w:rsidRDefault="00AE7FAC">
            <w:r>
              <w:t xml:space="preserve">Внедрение отдельного файлового сервера, система сетевых дисков, </w:t>
            </w:r>
            <w:proofErr w:type="spellStart"/>
            <w:r>
              <w:t>бэкапирование</w:t>
            </w:r>
            <w:proofErr w:type="spellEnd"/>
            <w:r>
              <w:t xml:space="preserve"> данных.</w:t>
            </w:r>
          </w:p>
        </w:tc>
        <w:tc>
          <w:tcPr>
            <w:tcW w:w="2257" w:type="dxa"/>
          </w:tcPr>
          <w:p w:rsidR="00ED7C0B" w:rsidRPr="00ED7C0B" w:rsidRDefault="00AE7FAC">
            <w:r>
              <w:t xml:space="preserve">Безопасность данных, удобство работы, повышение производительности компании, повышение надежности </w:t>
            </w:r>
          </w:p>
        </w:tc>
        <w:tc>
          <w:tcPr>
            <w:tcW w:w="1715" w:type="dxa"/>
          </w:tcPr>
          <w:p w:rsidR="00ED7C0B" w:rsidRPr="00ED7C0B" w:rsidRDefault="00AE7FAC">
            <w:r>
              <w:t>2мес</w:t>
            </w:r>
          </w:p>
        </w:tc>
        <w:tc>
          <w:tcPr>
            <w:tcW w:w="1732" w:type="dxa"/>
          </w:tcPr>
          <w:p w:rsidR="00ED7C0B" w:rsidRPr="00ED7C0B" w:rsidRDefault="00AE7FAC">
            <w:r>
              <w:t>5</w:t>
            </w:r>
          </w:p>
        </w:tc>
      </w:tr>
      <w:tr w:rsidR="00AE7FAC" w:rsidTr="003E3FFF">
        <w:trPr>
          <w:trHeight w:val="1336"/>
        </w:trPr>
        <w:tc>
          <w:tcPr>
            <w:tcW w:w="1754" w:type="dxa"/>
          </w:tcPr>
          <w:p w:rsidR="00AE7FAC" w:rsidRPr="003E3FFF" w:rsidRDefault="003E3FFF" w:rsidP="00ED7C0B">
            <w:r>
              <w:t>Визуализация мониторинга</w:t>
            </w:r>
          </w:p>
        </w:tc>
        <w:tc>
          <w:tcPr>
            <w:tcW w:w="1915" w:type="dxa"/>
          </w:tcPr>
          <w:p w:rsidR="00AE7FAC" w:rsidRPr="003E3FFF" w:rsidRDefault="003E3FFF">
            <w:r>
              <w:t xml:space="preserve">Внедрение и настройка </w:t>
            </w:r>
            <w:proofErr w:type="spellStart"/>
            <w:r>
              <w:rPr>
                <w:lang w:val="en-US"/>
              </w:rPr>
              <w:t>Grafana</w:t>
            </w:r>
            <w:proofErr w:type="spellEnd"/>
            <w:r w:rsidRPr="003E3FFF"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Prometheus</w:t>
            </w:r>
          </w:p>
        </w:tc>
        <w:tc>
          <w:tcPr>
            <w:tcW w:w="2257" w:type="dxa"/>
          </w:tcPr>
          <w:p w:rsidR="00AE7FAC" w:rsidRPr="003E3FFF" w:rsidRDefault="003E3FFF">
            <w:r>
              <w:t xml:space="preserve">Удобство и </w:t>
            </w:r>
            <w:proofErr w:type="spellStart"/>
            <w:r>
              <w:t>и</w:t>
            </w:r>
            <w:proofErr w:type="spellEnd"/>
            <w:r>
              <w:t xml:space="preserve"> качество аналитики производительности всей сетевой инфраструктуры</w:t>
            </w:r>
          </w:p>
        </w:tc>
        <w:tc>
          <w:tcPr>
            <w:tcW w:w="1715" w:type="dxa"/>
          </w:tcPr>
          <w:p w:rsidR="00AE7FAC" w:rsidRDefault="003E3FFF">
            <w:r>
              <w:t>1 неделя</w:t>
            </w:r>
          </w:p>
        </w:tc>
        <w:tc>
          <w:tcPr>
            <w:tcW w:w="1732" w:type="dxa"/>
          </w:tcPr>
          <w:p w:rsidR="00AE7FAC" w:rsidRDefault="003E3FFF">
            <w:r>
              <w:t>6</w:t>
            </w:r>
          </w:p>
        </w:tc>
      </w:tr>
    </w:tbl>
    <w:p w:rsidR="00ED7C0B" w:rsidRPr="00ED7C0B" w:rsidRDefault="00ED7C0B" w:rsidP="003E3FFF">
      <w:pPr>
        <w:rPr>
          <w:b/>
        </w:rPr>
      </w:pPr>
    </w:p>
    <w:sectPr w:rsidR="00ED7C0B" w:rsidRPr="00ED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0B"/>
    <w:rsid w:val="000C5372"/>
    <w:rsid w:val="003E3FFF"/>
    <w:rsid w:val="00AE7FAC"/>
    <w:rsid w:val="00ED7C0B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9542"/>
  <w15:chartTrackingRefBased/>
  <w15:docId w15:val="{D1E0D56B-B8C2-49E9-AE49-C154D7E1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SkyJohn</dc:creator>
  <cp:keywords/>
  <dc:description/>
  <cp:lastModifiedBy>SkyJohn</cp:lastModifiedBy>
  <cp:revision>1</cp:revision>
  <dcterms:created xsi:type="dcterms:W3CDTF">2023-04-05T04:03:00Z</dcterms:created>
  <dcterms:modified xsi:type="dcterms:W3CDTF">2023-04-05T04:37:00Z</dcterms:modified>
</cp:coreProperties>
</file>