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Genome complexity estimating method was assessed as the way for genomic islands (GI) detection.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assumed that regions with high complexity values (hotspots) may represent genomic islands. To detect hotspot </w:t>
      </w:r>
      <w:proofErr w:type="gram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regions</w:t>
      </w:r>
      <w:proofErr w:type="gram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used common outlier detection method proposed by Tukey: </w:t>
      </w: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complexity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&gt;= median(complexity) + 1.5*(Q3-Q1),</w:t>
      </w:r>
    </w:p>
    <w:p w:rsidR="00313705" w:rsidRDefault="00046DD1">
      <w:pPr>
        <w:rPr>
          <w:rFonts w:ascii="Times New Roman" w:eastAsia="Times New Roman" w:hAnsi="Times New Roman" w:cs="Times New Roman"/>
          <w:sz w:val="24"/>
          <w:szCs w:val="24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Q1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Q3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are 0.25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0.75 percentiles of complexity profile.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Hotspots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regarded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3705" w:rsidRDefault="00046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</w:p>
    <w:p w:rsidR="00313705" w:rsidRDefault="00046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4050" cy="143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705" w:rsidRPr="00432216" w:rsidRDefault="00046DD1">
      <w:pPr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3221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Fig 1. </w:t>
      </w:r>
      <w:r w:rsidRPr="0043221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Example of complexity based approach for prediction genomic islands in </w:t>
      </w:r>
      <w:r w:rsidRPr="00432216">
        <w:rPr>
          <w:rFonts w:ascii="Times New Roman" w:eastAsia="Times New Roman" w:hAnsi="Times New Roman" w:cs="Times New Roman"/>
          <w:i/>
          <w:sz w:val="21"/>
          <w:szCs w:val="21"/>
          <w:highlight w:val="white"/>
          <w:lang w:val="en-US"/>
        </w:rPr>
        <w:t xml:space="preserve">Streptococcus </w:t>
      </w:r>
      <w:proofErr w:type="spellStart"/>
      <w:r w:rsidRPr="00432216">
        <w:rPr>
          <w:rFonts w:ascii="Times New Roman" w:eastAsia="Times New Roman" w:hAnsi="Times New Roman" w:cs="Times New Roman"/>
          <w:i/>
          <w:sz w:val="21"/>
          <w:szCs w:val="21"/>
          <w:highlight w:val="white"/>
          <w:lang w:val="en-US"/>
        </w:rPr>
        <w:t>pyogenes</w:t>
      </w:r>
      <w:proofErr w:type="spellEnd"/>
      <w:r w:rsidRPr="00432216">
        <w:rPr>
          <w:rFonts w:ascii="Times New Roman" w:eastAsia="Times New Roman" w:hAnsi="Times New Roman" w:cs="Times New Roman"/>
          <w:sz w:val="21"/>
          <w:szCs w:val="21"/>
          <w:highlight w:val="white"/>
          <w:lang w:val="en-US"/>
        </w:rPr>
        <w:t xml:space="preserve"> MGAS315, </w:t>
      </w:r>
      <w:r w:rsidRPr="00432216">
        <w:rPr>
          <w:rFonts w:ascii="Times New Roman" w:eastAsia="Times New Roman" w:hAnsi="Times New Roman" w:cs="Times New Roman"/>
          <w:sz w:val="20"/>
          <w:szCs w:val="20"/>
          <w:lang w:val="en-US"/>
        </w:rPr>
        <w:t>NC_004070.1 chromosome.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To get a confusion matrix trueness of the prediction was checked for each nucleotide separately. MCC, F1 score and precision metrics were used to estimate quality of GI prediction: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Default="00432216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Times New Roman" w:cs="Times New Roman"/>
            </w:rPr>
            <m:t>MCC</m:t>
          </m:r>
          <m:r>
            <w:rPr>
              <w:rFonts w:ascii="Times New Roman" w:eastAsia="Times New Roman" w:hAnsi="Times New Roman" w:cs="Times New Roman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*</m:t>
              </m:r>
              <m:r>
                <w:rPr>
                  <w:rFonts w:ascii="Cambria Math" w:eastAsia="Times New Roman" w:hAnsi="Times New Roman" w:cs="Times New Roman"/>
                </w:rPr>
                <m:t>TN</m:t>
              </m:r>
              <m:r>
                <w:rPr>
                  <w:rFonts w:ascii="Times New Roman" w:eastAsia="Times New Roman" w:hAnsi="Times New Roman" w:cs="Times New Roman"/>
                </w:rPr>
                <m:t xml:space="preserve"> -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  <m:r>
                <w:rPr>
                  <w:rFonts w:ascii="Times New Roman" w:eastAsia="Times New Roman" w:hAnsi="Times New Roman" w:cs="Times New Roman"/>
                </w:rPr>
                <m:t>*</m:t>
              </m:r>
              <m:r>
                <w:rPr>
                  <w:rFonts w:ascii="Cambria Math" w:eastAsia="Times New Roman" w:hAnsi="Times New Roman" w:cs="Times New Roman"/>
                </w:rPr>
                <m:t>FN</m:t>
              </m:r>
            </m:num>
            <m:den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</w:rPr>
                    <m:t>TP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FP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TP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FN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TN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FP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TN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FN</m:t>
                  </m:r>
                  <m:r>
                    <w:rPr>
                      <w:rFonts w:ascii="Times New Roman" w:eastAsia="Times New Roman" w:hAnsi="Times New Roman" w:cs="Times New Roman"/>
                    </w:rPr>
                    <m:t>)</m:t>
                  </m:r>
                </m:e>
              </m:rad>
            </m:den>
          </m:f>
        </m:oMath>
      </m:oMathPara>
    </w:p>
    <w:p w:rsidR="00313705" w:rsidRDefault="00313705">
      <w:pPr>
        <w:jc w:val="center"/>
        <w:rPr>
          <w:rFonts w:ascii="Times New Roman" w:eastAsia="Times New Roman" w:hAnsi="Times New Roman" w:cs="Times New Roman"/>
        </w:rPr>
      </w:pPr>
    </w:p>
    <w:p w:rsidR="00313705" w:rsidRDefault="00BB44F4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r>
            <w:rPr>
              <w:rFonts w:ascii="Times New Roman" w:eastAsia="Times New Roman" w:hAnsi="Times New Roman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m:t xml:space="preserve"> score</m:t>
          </m:r>
          <m:r>
            <w:rPr>
              <w:rFonts w:ascii="Times New Roman" w:eastAsia="Times New Roman" w:hAnsi="Times New Roman" w:cs="Times New Roman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TP</m:t>
              </m:r>
            </m:num>
            <m:den>
              <m:r>
                <w:rPr>
                  <w:rFonts w:ascii="Times New Roman" w:eastAsia="Times New Roman" w:hAnsi="Times New Roman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FN</m:t>
              </m:r>
            </m:den>
          </m:f>
        </m:oMath>
      </m:oMathPara>
    </w:p>
    <w:p w:rsidR="00313705" w:rsidRDefault="00313705">
      <w:pPr>
        <w:jc w:val="center"/>
        <w:rPr>
          <w:rFonts w:ascii="Times New Roman" w:eastAsia="Times New Roman" w:hAnsi="Times New Roman" w:cs="Times New Roman"/>
        </w:rPr>
      </w:pPr>
    </w:p>
    <w:p w:rsidR="00313705" w:rsidRPr="00046DD1" w:rsidRDefault="00046DD1">
      <w:pPr>
        <w:jc w:val="center"/>
        <w:rPr>
          <w:rFonts w:ascii="Cambria Math" w:eastAsia="Times New Roman" w:hAnsi="Cambria Math" w:cs="Times New Roman"/>
          <w:i/>
        </w:rPr>
      </w:pPr>
      <m:oMathPara>
        <m:oMath>
          <m:r>
            <w:rPr>
              <w:rFonts w:ascii="Cambria Math" w:eastAsia="Times New Roman" w:hAnsi="Times New Roman" w:cs="Times New Roman"/>
            </w:rPr>
            <m:t>precision</m:t>
          </m:r>
          <m:r>
            <w:rPr>
              <w:rFonts w:ascii="Times New Roman" w:eastAsia="Times New Roman" w:hAnsi="Times New Roman" w:cs="Times New Roman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</m:den>
          </m:f>
        </m:oMath>
      </m:oMathPara>
    </w:p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From the genomes available in curated literature-based dataset [</w:t>
      </w: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et al., 2019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only 4 chromosomes were also present in our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precalc</w:t>
      </w:r>
      <w:bookmarkStart w:id="0" w:name="_GoBack"/>
      <w:bookmarkEnd w:id="0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ulated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set. 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Default="00046DD1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Results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313705" w:rsidRDefault="00313705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chromosome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MCC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precision</w:t>
            </w:r>
            <w:proofErr w:type="spellEnd"/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NC_004431.1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0.6398974787389852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0.6942167816826945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0.6039911283491597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NC_004070.1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0.655472809862469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0.6844523104895646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0.5494813503524955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NC_003923.1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0.5952671253837918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0.5892016756020617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0.4286045699930403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NC_002695.1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0.5469882821186525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0.622686519552352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0.5896994002603333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0.609406424025975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0.647639321831668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0.542944112238757</w:t>
            </w:r>
          </w:p>
        </w:tc>
      </w:tr>
    </w:tbl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Default="00313705">
      <w:pPr>
        <w:rPr>
          <w:rFonts w:ascii="Times New Roman" w:eastAsia="Times New Roman" w:hAnsi="Times New Roman" w:cs="Times New Roman"/>
          <w:b/>
        </w:rPr>
      </w:pPr>
    </w:p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MCC and F1-score this approach is comparable to existing tools such as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IslandPath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-DIMOB,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GIHunter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IslandViewer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 But there is a huge number of false positive detected GIs, so, the precision score is very low compared to other methods. </w:t>
      </w:r>
    </w:p>
    <w:p w:rsidR="00313705" w:rsidRPr="00432216" w:rsidRDefault="003137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References dataset obtained by using the comparative genomics approach of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IslandPick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et al., 2019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], also was used to validate complexity based approach. </w:t>
      </w:r>
    </w:p>
    <w:p w:rsidR="00313705" w:rsidRPr="00432216" w:rsidRDefault="0031370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13705" w:rsidRPr="00432216" w:rsidRDefault="0031370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chromosome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  <w:proofErr w:type="spellEnd"/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NC_009708.1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0.38487104690031365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0.3734107527432849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0.2451605459656494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NC_007005.1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0.2054826380489073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0.25008881198628097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0.17050550994785096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NC_010501.1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0.1656805277399133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0.2497633887301143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0.22984014707278763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NC_008253.1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0.31920178349975015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0.3263252331260368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0.21389808518495657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NC_009076.1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0.238251125314444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0.2786501010119271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0.18458251701690434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NC_009487.1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0.0903831957409384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0.05332905771389135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0.02803553366462905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NC_004578.1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0.25403435531999186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0.34446613497841755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0.286251319388785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NC_008463.1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0.30182788811643274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0.2992938488723532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0.19363758817684576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NC_003485.1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0.2579527628894837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0.1740849990936506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0.09638635877810856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NC_009512.1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0.27820951615033646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0.3445637427241827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0.3388378919734103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NC_004606.1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0.15200885258105978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0.10312124791584637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0.05589103172094004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NC_010167.1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0.000466314090059021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0.12570593895109675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0.33321936163527827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NC_007530.2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0.06398331158846338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0.04689342484723675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0.024840549813711664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NC_010410.1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0.3766808133470356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0.2920455742723105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0.17116491420042124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NC_005139.1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0.19703389818572514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0.150013006485706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0.08424900608332814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NC_008061.1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0.19022392344977773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0.3225759083357807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.33217554977792224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NC_010084.1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0.253070606088803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0.26344416769198453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0.16848999568158918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NC_003997.3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0.08390639743001588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0.05575501749959223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0.029555952338787134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NC_009080.1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0.12260548261530846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0.14317482232583406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0.0870655839240245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NC_010515.1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0.04983208533937494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0.2227876295579963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0.24346152492483925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NC_000907.1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0.09296002068782915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0.034584556473813956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0.017713963421374095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NC_008563.1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0.3935844374822941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0.38242186952979623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0.2515840311452063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NC_009800.1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0.19061720695979295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0.09702586444736065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0.051312273685759746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NC_010498.1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0.327133637346465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0.2597803467991166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0.15236272552588775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NC_004088.1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0.05911317631934262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0.052376147229830375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0.02926301686490688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NC_004116.1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0.2495949994749722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0.17778414841262602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0.09951760827068401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NC_008060.1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0.3415246066690782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0.44232779482012574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0.37481743033385473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NC_002944.2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0.07018640090967038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0.07504233105244104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0.042077179321005555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NC_010582.1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0.13071463422847124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0.12897879089527856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0.07521532748386954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NC_004368.1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0.28484822356765815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0.31553935338230515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0.21422814331310497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NC_007146.2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0.36024382180513154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0.3149167421444994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0.193772219653427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NC_010380.1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0.2336884661910294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0.23388640964119076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0.14489939693845189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NC_007434.1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0.3833920912799913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0.45966224818025575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0.35400710325841206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NC_004431.1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0.47005108656504924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0.5091760136438895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0.37988349456852866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NC_010465.1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0.37337575395475303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0.36600955692191756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0.23925061631367175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NC_006350.1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0.3458290477930752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0.39563460781220766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0.28059620614261555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NC_010473.1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0.06707619633431747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0.044255182787441144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0.023417902855171528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NC_002695.1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0.3903822256193024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0.46597765476482533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0.38414359689708727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NC_004070.1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0.2367698334411089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0.131330169255604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0.07032568299222543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NC_010102.1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0.2814133285495277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0.22346937518731244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0.12993039443155452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NC_008543.1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0.2128452820810379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0.2672648562640155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0.1898330414767529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NC_010184.1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0.1008380525664982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0.05916659388971843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0.03125161731648099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NC_008600.1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0.03806952653775363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0.022079794650779565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0.01136477165453867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NC_006155.1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0.3077655936920609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0.29831291471034593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0.18815448858629918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NC_008595.1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0.2322583123376348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0.29932392244640826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0.21834619883281148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NC_003909.8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0.18936903106619443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0.13706508158499245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0.076058265611407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NC_010159.1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-0.03414126616396267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0.003108575879328839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0.001715206630597444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0.19154922127994686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0.17830576368746082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0.10471699362854835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NC_002516.2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0.08692207405991095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0.08808184125921077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0.04971620468391139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NC_007946.1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0.46096590075508376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0.5136607961327568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0.40380701925813894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NC_003923.1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0.18794417019300338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0.09020057602747758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0.04742209004136109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NC_010322.1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0.2321622659018411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0.3050790907253817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0.3218192076660855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NC_008024.1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0.31654162612791337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0.21890083701594967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0.12290210537699855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NC_007432.1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0.33099343383472785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0.2967752098476495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0.18335437371046587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NC_009801.1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0.4078800664945426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0.3496928952424733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0.2142028994220997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NC_004722.1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0.16287408707503673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0.08902883035739562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0.04719050652395732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NC_005945.1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0.07993009039643954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0.055643426639708664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0.029571384905213122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0.22408724890966067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0.2245853154141476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0.16257883607040766</w:t>
            </w:r>
          </w:p>
        </w:tc>
      </w:tr>
    </w:tbl>
    <w:p w:rsidR="00313705" w:rsidRDefault="00313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3705" w:rsidRDefault="00313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3705" w:rsidRDefault="00046DD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Literature</w:t>
      </w:r>
      <w:proofErr w:type="spellEnd"/>
    </w:p>
    <w:p w:rsidR="00313705" w:rsidRDefault="00046DD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, C., Tilley, K. E., &amp; Brinkman, F. S. (2019). Microbial genomic island discovery, visualization and analysis.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Briefings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in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bioinformatics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(5), 1685-1698.</w:t>
      </w:r>
    </w:p>
    <w:sectPr w:rsidR="00313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05"/>
    <w:rsid w:val="00046DD1"/>
    <w:rsid w:val="00313705"/>
    <w:rsid w:val="00432216"/>
    <w:rsid w:val="00B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52E8"/>
  <w15:docId w15:val="{201FD91D-45FD-48D5-813C-315B8A3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2020-06-03T11:33:00Z</dcterms:created>
  <dcterms:modified xsi:type="dcterms:W3CDTF">2020-06-03T11:46:00Z</dcterms:modified>
</cp:coreProperties>
</file>