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e operon of glyoxylate metabolism is part of the genomic island containing the ibeA gene, the product of which binds to the receptor present on the endothelial cells of the brain.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island is described in the meningitis-causing strain </w:t>
      </w:r>
      <w:r w:rsidDel="00000000" w:rsidR="00000000" w:rsidRPr="00000000">
        <w:rPr>
          <w:i w:val="1"/>
          <w:rtl w:val="0"/>
        </w:rPr>
        <w:t xml:space="preserve">Escherichia coli K1</w:t>
      </w:r>
      <w:r w:rsidDel="00000000" w:rsidR="00000000" w:rsidRPr="00000000">
        <w:rPr>
          <w:rtl w:val="0"/>
        </w:rPr>
        <w:t xml:space="preserve">, and by experimental mutagenesis has been shown to be functionally significant for the manifestation of the pathogenic properties [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Huang, 2001</w:t>
      </w:r>
      <w:r w:rsidDel="00000000" w:rsidR="00000000" w:rsidRPr="00000000">
        <w:rPr>
          <w:rtl w:val="0"/>
        </w:rPr>
        <w:t xml:space="preserve">]. The island contains four operons: the ibe operon associated with invasion, as well as three operons of the metabolism of hydrocarbons and glycerol (ptn, cgl, gcx) [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Rakitina, 2017</w:t>
      </w:r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Literature</w:t>
      </w:r>
    </w:p>
    <w:p w:rsidR="00000000" w:rsidDel="00000000" w:rsidP="00000000" w:rsidRDefault="00000000" w:rsidRPr="00000000" w14:paraId="0000000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Huang, S. H., Chen, Y. H., Kong, G., Chen, S. H., Besemer, J., Borodovsky, M., &amp; Jong, A. (2001). A novel genetic island of meningitic Escherichia coli K1 containing the ibeA invasion gene (GimA): functional annotation and carbon-source-regulated invasion of human brain microvascular endothelial cells.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Functional &amp; integrative genomics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(5), 312-322.</w:t>
      </w:r>
    </w:p>
    <w:p w:rsidR="00000000" w:rsidDel="00000000" w:rsidP="00000000" w:rsidRDefault="00000000" w:rsidRPr="00000000" w14:paraId="0000000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Rakitina, D. V., Manolov, A. I., Kanygina, A. V., Garushyants, S. K., Baikova, J. P., Alexeev, D. G., ... &amp; Karpova, I. Y. (2017). Genome analysis of E. coli isolated from Crohn’s disease patients.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BMC genomics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18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(1), 544.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