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D" w:rsidRPr="00354CCD" w:rsidRDefault="00354CCD" w:rsidP="00354CCD">
      <w:pPr>
        <w:pStyle w:val="Heading8"/>
        <w:rPr>
          <w:rFonts w:eastAsia="Times New Roman"/>
          <w:sz w:val="28"/>
          <w:lang w:val="en-US"/>
        </w:rPr>
      </w:pPr>
      <w:r w:rsidRPr="00354CCD">
        <w:rPr>
          <w:rFonts w:eastAsia="Times New Roman"/>
          <w:sz w:val="28"/>
          <w:lang w:val="en-US"/>
        </w:rPr>
        <w:t>Comparison of hotspots identified by GCB with a curated dataset</w:t>
      </w:r>
      <w:r>
        <w:rPr>
          <w:rFonts w:eastAsia="Times New Roman"/>
          <w:sz w:val="28"/>
          <w:lang w:val="en-US"/>
        </w:rPr>
        <w:t>.</w:t>
      </w:r>
      <w:bookmarkStart w:id="0" w:name="_GoBack"/>
      <w:bookmarkEnd w:id="0"/>
    </w:p>
    <w:p w:rsidR="00354CCD" w:rsidRPr="00354CCD" w:rsidRDefault="00354C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Genome complexity estimating method was assessed as the way for genomic islands (GI) detection. We assumed that regions with high complexity values (hotspots) may represent genomic islands. To detect hotspot </w:t>
      </w:r>
      <w:proofErr w:type="gram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regions</w:t>
      </w:r>
      <w:proofErr w:type="gram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used common outlier detection method proposed by Tukey: </w:t>
      </w: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complexity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&gt;= median(complexity) + 1.5*(Q3-Q1),</w:t>
      </w:r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Q1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Q3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0.25 and 0.75 percentiles of complexity profile.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Hotspots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4050" cy="143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705" w:rsidRPr="00432216" w:rsidRDefault="00046DD1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3221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Fig 1.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Example of complexity based approach for prediction genomic islands in </w:t>
      </w:r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 xml:space="preserve">Streptococcus </w:t>
      </w:r>
      <w:proofErr w:type="spellStart"/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>pyogenes</w:t>
      </w:r>
      <w:proofErr w:type="spellEnd"/>
      <w:r w:rsidRPr="00432216">
        <w:rPr>
          <w:rFonts w:ascii="Times New Roman" w:eastAsia="Times New Roman" w:hAnsi="Times New Roman" w:cs="Times New Roman"/>
          <w:sz w:val="21"/>
          <w:szCs w:val="21"/>
          <w:highlight w:val="white"/>
          <w:lang w:val="en-US"/>
        </w:rPr>
        <w:t xml:space="preserve"> MGAS315,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>NC_004070.1 chromosome.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To get a confusion matrix trueness of the prediction was checked for each nucleotide separately. MCC, F1 score and precision metrics were used to estimate quality of GI prediction: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432216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Times New Roman" w:cs="Times New Roman"/>
            </w:rPr>
            <m:t>MCC</m:t>
          </m:r>
          <m:r>
            <w:rPr>
              <w:rFonts w:ascii="Times New Roman" w:eastAsia="Times New Roman" w:hAnsi="Times New Roman" w:cs="Times New Roman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TN</m:t>
              </m:r>
              <m:r>
                <w:rPr>
                  <w:rFonts w:ascii="Times New Roman" w:eastAsia="Times New Roman" w:hAnsi="Times New Roman" w:cs="Times New Roman"/>
                </w:rPr>
                <m:t xml:space="preserve"> -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</m:t>
                  </m:r>
                </m:e>
              </m:rad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Default="00BB44F4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r>
            <w:rPr>
              <w:rFonts w:ascii="Times New Roman" w:eastAsia="Times New Roman" w:hAnsi="Times New Roman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 xml:space="preserve"> score</m:t>
          </m:r>
          <m:r>
            <w:rPr>
              <w:rFonts w:ascii="Times New Roman" w:eastAsia="Times New Roman" w:hAnsi="Times New Roman" w:cs="Times New Roman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</m:num>
            <m:den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Pr="00046DD1" w:rsidRDefault="00046DD1">
      <w:pPr>
        <w:jc w:val="center"/>
        <w:rPr>
          <w:rFonts w:ascii="Cambria Math" w:eastAsia="Times New Roman" w:hAnsi="Cambria Math" w:cs="Times New Roman"/>
          <w:i/>
        </w:rPr>
      </w:pPr>
      <m:oMathPara>
        <m:oMath>
          <m:r>
            <w:rPr>
              <w:rFonts w:ascii="Cambria Math" w:eastAsia="Times New Roman" w:hAnsi="Times New Roman" w:cs="Times New Roman"/>
            </w:rPr>
            <m:t>precision</m:t>
          </m:r>
          <m:r>
            <w:rPr>
              <w:rFonts w:ascii="Times New Roman" w:eastAsia="Times New Roman" w:hAnsi="Times New Roman" w:cs="Times New Roman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</m:den>
          </m:f>
        </m:oMath>
      </m:oMathPara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From the genomes available in curated literature-based dataset 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only 4 chromosomes were also present in our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precalculated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set. 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Results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chromosome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NC_004431.1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0.6398974787389852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0.6942167816826945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0.6039911283491597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NC_004070.1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0.655472809862469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0.6844523104895646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0.5494813503524955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NC_003923.1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0.5952671253837918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0.5892016756020617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0.4286045699930403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NC_002695.1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0.5469882821186525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0.622686519552352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0.5896994002603333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0.609406424025975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0.647639321831668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0.542944112238757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MCC and F1-score this approach is comparable to existing tools such as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IslandPath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-DIMOB,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GIHunter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IslandViewer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But there is a huge number of false positive detected GIs, so, the precision score is very low compared to other methods.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References dataset obtained by using the comparative genomics approach of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IslandPick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also was used to validate complexity based approach.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chromosome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NC_009708.1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0.38487104690031365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0.3734107527432849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0.2451605459656494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NC_007005.1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0.2054826380489073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0.25008881198628097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0.17050550994785096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0.1656805277399133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0.2497633887301143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0.22984014707278763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NC_008253.1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0.31920178349975015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0.3263252331260368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0.21389808518495657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NC_009076.1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0.238251125314444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0.2786501010119271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0.18458251701690434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NC_009487.1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0.0903831957409384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0.05332905771389135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0.02803553366462905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NC_004578.1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0.25403435531999186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0.34446613497841755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0.286251319388785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NC_008463.1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0.30182788811643274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0.2992938488723532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0.19363758817684576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NC_003485.1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0.2579527628894837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0.1740849990936506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0.09638635877810856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NC_009512.1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0.27820951615033646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0.3445637427241827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0.3388378919734103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NC_004606.1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0.15200885258105978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0.10312124791584637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0.05589103172094004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NC_010167.1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0.000466314090059021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0.12570593895109675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0.33321936163527827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NC_007530.2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0.06398331158846338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0.04689342484723675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0.024840549813711664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NC_010410.1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0.3766808133470356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0.2920455742723105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0.17116491420042124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NC_005139.1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0.19703389818572514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0.150013006485706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0.08424900608332814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0.19022392344977773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0.3225759083357807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0.33217554977792224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NC_010084.1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0.253070606088803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0.26344416769198453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0.16848999568158918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NC_003997.3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0.08390639743001588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0.05575501749959223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0.029555952338787134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0.12260548261530846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0.14317482232583406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0.0870655839240245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NC_010515.1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0.04983208533937494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0.2227876295579963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0.24346152492483925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NC_000907.1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0.09296002068782915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0.034584556473813956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0.017713963421374095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0.3935844374822941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0.38242186952979623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0.2515840311452063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NC_009800.1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0.19061720695979295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0.09702586444736065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0.051312273685759746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NC_010498.1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0.327133637346465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0.2597803467991166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0.15236272552588775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NC_004088.1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0.05911317631934262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0.052376147229830375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0.02926301686490688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NC_004116.1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0.2495949994749722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0.17778414841262602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0.09951760827068401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0.3415246066690782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0.44232779482012574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0.37481743033385473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NC_002944.2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0.07018640090967038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0.07504233105244104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0.042077179321005555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NC_010582.1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0.13071463422847124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0.12897879089527856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0.07521532748386954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NC_004368.1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0.28484822356765815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0.31553935338230515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0.21422814331310497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NC_007146.2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0.36024382180513154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0.3149167421444994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0.193772219653427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0.2336884661910294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0.23388640964119076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0.14489939693845189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0.3833920912799913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0.45966224818025575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0.35400710325841206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NC_004431.1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0.47005108656504924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0.5091760136438895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0.37988349456852866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NC_010465.1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0.37337575395475303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0.36600955692191756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0.23925061631367175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NC_006350.1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0.3458290477930752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0.39563460781220766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0.28059620614261555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NC_010473.1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0.06707619633431747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0.044255182787441144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0.023417902855171528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NC_002695.1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0.3903822256193024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0.46597765476482533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0.38414359689708727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NC_004070.1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0.2367698334411089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0.131330169255604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0.07032568299222543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NC_010102.1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0.2814133285495277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0.22346937518731244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0.12993039443155452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NC_008543.1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0.2128452820810379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0.2672648562640155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0.1898330414767529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0.1008380525664982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0.05916659388971843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0.03125161731648099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NC_008600.1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0.03806952653775363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0.022079794650779565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0.01136477165453867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NC_006155.1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0.3077655936920609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0.29831291471034593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0.18815448858629918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0.2322583123376348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0.29932392244640826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0.21834619883281148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NC_003909.8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0.18936903106619443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0.13706508158499245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0.076058265611407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NC_010159.1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-0.03414126616396267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0.003108575879328839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0.001715206630597444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0.19154922127994686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0.17830576368746082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0.10471699362854835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NC_002516.2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0.08692207405991095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0.08808184125921077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0.04971620468391139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NC_007946.1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0.46096590075508376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0.5136607961327568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0.40380701925813894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NC_003923.1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0.18794417019300338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0.09020057602747758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0.04742209004136109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0.2321622659018411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0.3050790907253817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0.3218192076660855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NC_008024.1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0.31654162612791337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0.21890083701594967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0.12290210537699855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0.33099343383472785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0.2967752098476495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0.18335437371046587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NC_009801.1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0.4078800664945426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0.3496928952424733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0.2142028994220997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NC_004722.1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0.16287408707503673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0.08902883035739562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0.04719050652395732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NC_005945.1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0.07993009039643954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0.055643426639708664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0.029571384905213122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0.22408724890966067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0.2245853154141476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0.16257883607040766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Literature</w:t>
      </w:r>
      <w:proofErr w:type="spellEnd"/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C., Tilley, K. E., &amp; Brinkman, F. S. (2019). Microbial genomic island discovery, visualization and analysis.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Briefings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bioinformatics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(5), 1685-1698.</w:t>
      </w:r>
    </w:p>
    <w:sectPr w:rsidR="00313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05"/>
    <w:rsid w:val="00046DD1"/>
    <w:rsid w:val="00313705"/>
    <w:rsid w:val="00354CCD"/>
    <w:rsid w:val="00432216"/>
    <w:rsid w:val="005225FA"/>
    <w:rsid w:val="00B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4781"/>
  <w15:docId w15:val="{201FD91D-45FD-48D5-813C-315B8A3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C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C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54C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54C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cp:lastPrinted>2020-06-06T09:37:00Z</cp:lastPrinted>
  <dcterms:created xsi:type="dcterms:W3CDTF">2020-06-03T11:33:00Z</dcterms:created>
  <dcterms:modified xsi:type="dcterms:W3CDTF">2020-06-06T09:39:00Z</dcterms:modified>
</cp:coreProperties>
</file>